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E608F" w14:textId="7AAD4B60" w:rsidR="00DC1245" w:rsidRPr="00A47373" w:rsidRDefault="00DC1245" w:rsidP="00DC1245">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3GPP TSG RAN WG1 Meeting #10</w:t>
      </w:r>
      <w:r w:rsidR="00F70374">
        <w:rPr>
          <w:rFonts w:cs="Arial"/>
          <w:bCs/>
          <w:sz w:val="24"/>
        </w:rPr>
        <w:t>5</w:t>
      </w:r>
      <w:r w:rsidRPr="00F36CB2">
        <w:rPr>
          <w:rFonts w:cs="Arial"/>
          <w:bCs/>
          <w:sz w:val="24"/>
        </w:rPr>
        <w:t>-</w:t>
      </w:r>
      <w:r w:rsidRPr="00A47373">
        <w:rPr>
          <w:rFonts w:cs="Arial"/>
          <w:bCs/>
          <w:sz w:val="24"/>
        </w:rPr>
        <w:t xml:space="preserve">e </w:t>
      </w:r>
      <w:r w:rsidRPr="00A47373">
        <w:rPr>
          <w:rFonts w:cs="Arial"/>
          <w:bCs/>
          <w:sz w:val="24"/>
          <w:szCs w:val="24"/>
          <w:lang w:val="en-US" w:eastAsia="zh-TW"/>
        </w:rPr>
        <w:t xml:space="preserve"> </w:t>
      </w:r>
      <w:r w:rsidRPr="00A47373">
        <w:rPr>
          <w:rFonts w:cs="Arial"/>
          <w:bCs/>
          <w:sz w:val="24"/>
          <w:szCs w:val="24"/>
          <w:lang w:val="en-US" w:eastAsia="zh-TW"/>
        </w:rPr>
        <w:tab/>
      </w:r>
      <w:r w:rsidR="00F70374">
        <w:rPr>
          <w:rFonts w:cs="Arial"/>
          <w:bCs/>
          <w:sz w:val="24"/>
          <w:szCs w:val="24"/>
          <w:lang w:val="en-US" w:eastAsia="zh-TW"/>
        </w:rPr>
        <w:tab/>
      </w:r>
      <w:r w:rsidRPr="001B227C">
        <w:rPr>
          <w:rFonts w:eastAsia="MS Mincho" w:cs="Arial"/>
          <w:bCs/>
          <w:sz w:val="24"/>
          <w:szCs w:val="24"/>
          <w:lang w:val="en-US"/>
        </w:rPr>
        <w:t>R1-</w:t>
      </w:r>
      <w:r w:rsidR="001B227C" w:rsidRPr="001B227C">
        <w:rPr>
          <w:rFonts w:eastAsia="MS Mincho" w:cs="Arial"/>
          <w:bCs/>
          <w:sz w:val="24"/>
          <w:szCs w:val="24"/>
          <w:lang w:val="en-US"/>
        </w:rPr>
        <w:t>2105736</w:t>
      </w:r>
    </w:p>
    <w:p w14:paraId="61FB3247" w14:textId="6C0DEE9C" w:rsidR="00DC1245" w:rsidRPr="001E46AC" w:rsidRDefault="00DC1245" w:rsidP="00DC1245">
      <w:pPr>
        <w:pStyle w:val="Header"/>
        <w:tabs>
          <w:tab w:val="center" w:pos="4536"/>
          <w:tab w:val="right" w:pos="8280"/>
          <w:tab w:val="right" w:pos="9781"/>
        </w:tabs>
        <w:spacing w:after="240"/>
        <w:ind w:right="-58"/>
        <w:rPr>
          <w:rFonts w:cs="Arial"/>
          <w:bCs/>
          <w:sz w:val="24"/>
          <w:szCs w:val="28"/>
          <w:lang w:eastAsia="zh-TW"/>
        </w:rPr>
      </w:pPr>
      <w:r w:rsidRPr="00A47373">
        <w:rPr>
          <w:rFonts w:cs="Arial"/>
          <w:bCs/>
          <w:sz w:val="24"/>
          <w:szCs w:val="28"/>
          <w:lang w:eastAsia="zh-TW"/>
        </w:rPr>
        <w:t>e-Meeting,</w:t>
      </w:r>
      <w:r w:rsidRPr="00A47373">
        <w:rPr>
          <w:sz w:val="16"/>
        </w:rPr>
        <w:t xml:space="preserve"> </w:t>
      </w:r>
      <w:r w:rsidR="00F70374">
        <w:rPr>
          <w:rFonts w:cs="Arial"/>
          <w:bCs/>
          <w:sz w:val="24"/>
          <w:szCs w:val="28"/>
          <w:lang w:eastAsia="zh-TW"/>
        </w:rPr>
        <w:t>May</w:t>
      </w:r>
      <w:r w:rsidRPr="00A47373">
        <w:rPr>
          <w:rFonts w:cs="Arial"/>
          <w:bCs/>
          <w:sz w:val="24"/>
          <w:szCs w:val="28"/>
          <w:lang w:eastAsia="zh-TW"/>
        </w:rPr>
        <w:t xml:space="preserve"> </w:t>
      </w:r>
      <w:r>
        <w:rPr>
          <w:rFonts w:cs="Arial"/>
          <w:bCs/>
          <w:sz w:val="24"/>
          <w:szCs w:val="28"/>
          <w:lang w:eastAsia="zh-TW"/>
        </w:rPr>
        <w:t>1</w:t>
      </w:r>
      <w:r w:rsidR="00F70374">
        <w:rPr>
          <w:rFonts w:cs="Arial"/>
          <w:bCs/>
          <w:sz w:val="24"/>
          <w:szCs w:val="28"/>
          <w:lang w:eastAsia="zh-TW"/>
        </w:rPr>
        <w:t>0</w:t>
      </w:r>
      <w:r w:rsidRPr="00A47373">
        <w:rPr>
          <w:rFonts w:cs="Arial"/>
          <w:bCs/>
          <w:sz w:val="24"/>
          <w:szCs w:val="28"/>
          <w:vertAlign w:val="superscript"/>
          <w:lang w:eastAsia="zh-TW"/>
        </w:rPr>
        <w:t>th</w:t>
      </w:r>
      <w:r w:rsidRPr="00A47373">
        <w:rPr>
          <w:rFonts w:cs="Arial"/>
          <w:bCs/>
          <w:sz w:val="24"/>
          <w:szCs w:val="28"/>
          <w:lang w:eastAsia="zh-TW"/>
        </w:rPr>
        <w:t xml:space="preserve"> – </w:t>
      </w:r>
      <w:r w:rsidR="00F70374">
        <w:rPr>
          <w:rFonts w:cs="Arial"/>
          <w:bCs/>
          <w:sz w:val="24"/>
          <w:szCs w:val="28"/>
          <w:lang w:eastAsia="zh-TW"/>
        </w:rPr>
        <w:t>May</w:t>
      </w:r>
      <w:r w:rsidRPr="00A47373">
        <w:rPr>
          <w:rFonts w:cs="Arial"/>
          <w:bCs/>
          <w:sz w:val="24"/>
          <w:szCs w:val="28"/>
          <w:lang w:eastAsia="zh-TW"/>
        </w:rPr>
        <w:t xml:space="preserve"> </w:t>
      </w:r>
      <w:r>
        <w:rPr>
          <w:rFonts w:cs="Arial"/>
          <w:bCs/>
          <w:sz w:val="24"/>
          <w:szCs w:val="28"/>
          <w:lang w:eastAsia="zh-TW"/>
        </w:rPr>
        <w:t>2</w:t>
      </w:r>
      <w:r w:rsidR="00F70374">
        <w:rPr>
          <w:rFonts w:cs="Arial"/>
          <w:bCs/>
          <w:sz w:val="24"/>
          <w:szCs w:val="28"/>
          <w:lang w:eastAsia="zh-TW"/>
        </w:rPr>
        <w:t>7</w:t>
      </w:r>
      <w:r w:rsidRPr="00A47373">
        <w:rPr>
          <w:rFonts w:cs="Arial"/>
          <w:bCs/>
          <w:sz w:val="24"/>
          <w:szCs w:val="28"/>
          <w:vertAlign w:val="superscript"/>
          <w:lang w:eastAsia="zh-TW"/>
        </w:rPr>
        <w:t>th</w:t>
      </w:r>
      <w:r w:rsidRPr="00A47373">
        <w:rPr>
          <w:rFonts w:cs="Arial"/>
          <w:bCs/>
          <w:sz w:val="24"/>
          <w:szCs w:val="28"/>
          <w:lang w:eastAsia="zh-TW"/>
        </w:rPr>
        <w:t>, 2021</w:t>
      </w:r>
      <w:r w:rsidRPr="001E46AC">
        <w:rPr>
          <w:rFonts w:cs="Arial"/>
          <w:bCs/>
          <w:sz w:val="24"/>
        </w:rPr>
        <w:t xml:space="preserve"> </w:t>
      </w:r>
    </w:p>
    <w:p w14:paraId="7CC4AFF2" w14:textId="444570CD" w:rsidR="00DC1245" w:rsidRPr="002824E8" w:rsidRDefault="00DC1245" w:rsidP="00DC1245">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Pr>
          <w:rFonts w:cs="Arial"/>
          <w:bCs/>
          <w:sz w:val="24"/>
          <w:szCs w:val="24"/>
          <w:lang w:val="en-US" w:eastAsia="zh-TW"/>
        </w:rPr>
        <w:t>8.6</w:t>
      </w:r>
      <w:r w:rsidRPr="002824E8">
        <w:rPr>
          <w:rFonts w:cs="Arial"/>
          <w:bCs/>
          <w:sz w:val="24"/>
          <w:szCs w:val="24"/>
          <w:lang w:val="en-US" w:eastAsia="zh-TW"/>
        </w:rPr>
        <w:t>.1</w:t>
      </w:r>
      <w:r>
        <w:rPr>
          <w:rFonts w:cs="Arial"/>
          <w:bCs/>
          <w:sz w:val="24"/>
          <w:szCs w:val="24"/>
          <w:lang w:val="en-US" w:eastAsia="zh-TW"/>
        </w:rPr>
        <w:t>.1</w:t>
      </w:r>
    </w:p>
    <w:p w14:paraId="209ED52C" w14:textId="77777777" w:rsidR="00DC1245" w:rsidRPr="00540FA5" w:rsidRDefault="00DC1245" w:rsidP="00DC1245">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0864AF03" w14:textId="435A6CAA" w:rsidR="00DC1245" w:rsidRPr="00540FA5" w:rsidRDefault="00DC1245" w:rsidP="00DC1245">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Pr="00D3569A">
        <w:rPr>
          <w:rFonts w:eastAsia="MS Mincho" w:cs="Arial"/>
          <w:bCs/>
          <w:sz w:val="24"/>
          <w:szCs w:val="24"/>
          <w:lang w:val="en-US"/>
        </w:rPr>
        <w:t xml:space="preserve">On </w:t>
      </w:r>
      <w:r w:rsidR="003C153E">
        <w:rPr>
          <w:rFonts w:eastAsia="MS Mincho" w:cs="Arial"/>
          <w:bCs/>
          <w:sz w:val="24"/>
          <w:szCs w:val="24"/>
          <w:lang w:val="en-US"/>
        </w:rPr>
        <w:t>Reduced Maximum Bandwidth</w:t>
      </w:r>
      <w:r w:rsidRPr="00D3569A">
        <w:rPr>
          <w:rFonts w:eastAsia="MS Mincho" w:cs="Arial"/>
          <w:bCs/>
          <w:sz w:val="24"/>
          <w:szCs w:val="24"/>
          <w:lang w:val="en-US"/>
        </w:rPr>
        <w:t xml:space="preserve"> for RedCap UEs</w:t>
      </w:r>
    </w:p>
    <w:p w14:paraId="199AB825" w14:textId="77777777" w:rsidR="00DC1245" w:rsidRPr="002824E8" w:rsidRDefault="00DC1245" w:rsidP="00DC1245">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Pr="00540FA5">
        <w:rPr>
          <w:rFonts w:eastAsia="MS Mincho" w:cs="Arial"/>
          <w:bCs/>
          <w:sz w:val="24"/>
          <w:szCs w:val="24"/>
          <w:lang w:val="en-US"/>
        </w:rPr>
        <w:t>Discussion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71A959AB" w14:textId="2928283A" w:rsidR="003C153E" w:rsidRPr="003C153E" w:rsidRDefault="006040EA" w:rsidP="003C153E">
      <w:pPr>
        <w:spacing w:after="120"/>
        <w:jc w:val="both"/>
        <w:rPr>
          <w:rFonts w:eastAsia="SimSun"/>
          <w:sz w:val="20"/>
          <w:lang w:eastAsia="zh-CN"/>
        </w:rPr>
      </w:pPr>
      <w:r w:rsidRPr="0088650D">
        <w:rPr>
          <w:rFonts w:eastAsia="SimSun"/>
          <w:sz w:val="20"/>
          <w:lang w:eastAsia="zh-CN"/>
        </w:rPr>
        <w:t xml:space="preserve">The Rel-17 study item on </w:t>
      </w:r>
      <w:r w:rsidR="003E28D2" w:rsidRPr="0088650D">
        <w:rPr>
          <w:rFonts w:eastAsia="SimSun"/>
          <w:sz w:val="20"/>
          <w:lang w:eastAsia="zh-CN"/>
        </w:rPr>
        <w:t xml:space="preserve">Reduced Capability NR devices </w:t>
      </w:r>
      <w:r w:rsidR="009376D9" w:rsidRPr="0088650D">
        <w:rPr>
          <w:rFonts w:eastAsia="SimSun"/>
          <w:sz w:val="20"/>
          <w:lang w:eastAsia="zh-CN"/>
        </w:rPr>
        <w:t xml:space="preserve">was </w:t>
      </w:r>
      <w:r w:rsidRPr="0088650D">
        <w:rPr>
          <w:rFonts w:eastAsia="SimSun"/>
          <w:sz w:val="20"/>
          <w:lang w:eastAsia="zh-CN"/>
        </w:rPr>
        <w:t>approved</w:t>
      </w:r>
      <w:r w:rsidR="0013377B" w:rsidRPr="0088650D">
        <w:rPr>
          <w:rFonts w:eastAsia="SimSun"/>
          <w:sz w:val="20"/>
          <w:lang w:eastAsia="zh-CN"/>
        </w:rPr>
        <w:t xml:space="preserve"> in </w:t>
      </w:r>
      <w:r w:rsidR="0013377B" w:rsidRPr="0088650D">
        <w:rPr>
          <w:rFonts w:eastAsia="SimSun"/>
          <w:sz w:val="20"/>
          <w:lang w:eastAsia="zh-CN"/>
        </w:rPr>
        <w:fldChar w:fldCharType="begin"/>
      </w:r>
      <w:r w:rsidR="0013377B" w:rsidRPr="0088650D">
        <w:rPr>
          <w:rFonts w:eastAsia="SimSun"/>
          <w:sz w:val="20"/>
          <w:lang w:eastAsia="zh-CN"/>
        </w:rPr>
        <w:instrText xml:space="preserve"> REF _Ref40432453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[1]</w:t>
      </w:r>
      <w:r w:rsidR="0013377B" w:rsidRPr="0088650D">
        <w:rPr>
          <w:rFonts w:eastAsia="SimSun"/>
          <w:sz w:val="20"/>
          <w:lang w:eastAsia="zh-CN"/>
        </w:rPr>
        <w:fldChar w:fldCharType="end"/>
      </w:r>
      <w:r w:rsidR="0013377B" w:rsidRPr="0088650D">
        <w:rPr>
          <w:rFonts w:eastAsia="SimSun"/>
          <w:sz w:val="20"/>
          <w:lang w:eastAsia="zh-CN"/>
        </w:rPr>
        <w:t xml:space="preserve"> and updated in </w:t>
      </w:r>
      <w:r w:rsidR="0013377B" w:rsidRPr="0088650D">
        <w:rPr>
          <w:rFonts w:eastAsia="SimSun"/>
          <w:sz w:val="20"/>
          <w:lang w:eastAsia="zh-CN"/>
        </w:rPr>
        <w:fldChar w:fldCharType="begin"/>
      </w:r>
      <w:r w:rsidR="0013377B" w:rsidRPr="0088650D">
        <w:rPr>
          <w:rFonts w:eastAsia="SimSun"/>
          <w:sz w:val="20"/>
          <w:lang w:eastAsia="zh-CN"/>
        </w:rPr>
        <w:instrText xml:space="preserve"> REF _Ref46136565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[2]</w:t>
      </w:r>
      <w:r w:rsidR="0013377B" w:rsidRPr="0088650D">
        <w:rPr>
          <w:rFonts w:eastAsia="SimSun"/>
          <w:sz w:val="20"/>
          <w:lang w:eastAsia="zh-CN"/>
        </w:rPr>
        <w:fldChar w:fldCharType="end"/>
      </w:r>
      <w:r w:rsidR="003D6DDB">
        <w:rPr>
          <w:rFonts w:eastAsia="SimSun"/>
          <w:sz w:val="20"/>
          <w:lang w:eastAsia="zh-CN"/>
        </w:rPr>
        <w:t xml:space="preserve">. The </w:t>
      </w:r>
      <w:r w:rsidR="0013377B" w:rsidRPr="0088650D">
        <w:rPr>
          <w:rFonts w:eastAsia="SimSun"/>
          <w:sz w:val="20"/>
          <w:lang w:eastAsia="zh-CN"/>
        </w:rPr>
        <w:t xml:space="preserve">WI has been </w:t>
      </w:r>
      <w:r w:rsidR="003D6DDB">
        <w:rPr>
          <w:rFonts w:eastAsia="SimSun"/>
          <w:sz w:val="20"/>
          <w:lang w:eastAsia="zh-CN"/>
        </w:rPr>
        <w:t xml:space="preserve">updated in </w:t>
      </w:r>
      <w:r w:rsidR="009D1F0A">
        <w:rPr>
          <w:rFonts w:eastAsia="SimSun"/>
          <w:sz w:val="20"/>
          <w:lang w:eastAsia="zh-CN"/>
        </w:rPr>
        <w:t>RAN</w:t>
      </w:r>
      <w:r w:rsidR="0013377B" w:rsidRPr="0088650D">
        <w:rPr>
          <w:rFonts w:eastAsia="SimSun"/>
          <w:sz w:val="20"/>
          <w:lang w:eastAsia="zh-CN"/>
        </w:rPr>
        <w:t xml:space="preserve">#90 </w:t>
      </w:r>
      <w:r w:rsidR="0013377B" w:rsidRPr="0088650D">
        <w:rPr>
          <w:rFonts w:eastAsia="SimSun"/>
          <w:sz w:val="20"/>
          <w:lang w:eastAsia="zh-CN"/>
        </w:rPr>
        <w:fldChar w:fldCharType="begin"/>
      </w:r>
      <w:r w:rsidR="0013377B" w:rsidRPr="0088650D">
        <w:rPr>
          <w:rFonts w:eastAsia="SimSun"/>
          <w:sz w:val="20"/>
          <w:lang w:eastAsia="zh-CN"/>
        </w:rPr>
        <w:instrText xml:space="preserve"> REF _Ref61883933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[3]</w:t>
      </w:r>
      <w:r w:rsidR="0013377B" w:rsidRPr="0088650D">
        <w:rPr>
          <w:rFonts w:eastAsia="SimSun"/>
          <w:sz w:val="20"/>
          <w:lang w:eastAsia="zh-CN"/>
        </w:rPr>
        <w:fldChar w:fldCharType="end"/>
      </w:r>
      <w:r w:rsidR="003D6DDB">
        <w:rPr>
          <w:rFonts w:eastAsia="SimSun"/>
          <w:sz w:val="20"/>
          <w:lang w:eastAsia="zh-CN"/>
        </w:rPr>
        <w:t xml:space="preserve"> and in RAN#91</w:t>
      </w:r>
      <w:r w:rsidR="003D6DDB">
        <w:rPr>
          <w:rFonts w:eastAsia="SimSun"/>
          <w:sz w:val="20"/>
          <w:lang w:eastAsia="zh-CN"/>
        </w:rPr>
        <w:fldChar w:fldCharType="begin"/>
      </w:r>
      <w:r w:rsidR="003D6DDB">
        <w:rPr>
          <w:rFonts w:eastAsia="SimSun"/>
          <w:sz w:val="20"/>
          <w:lang w:eastAsia="zh-CN"/>
        </w:rPr>
        <w:instrText xml:space="preserve"> REF _Ref68603038 \n \h </w:instrText>
      </w:r>
      <w:r w:rsidR="003D6DDB">
        <w:rPr>
          <w:rFonts w:eastAsia="SimSun"/>
          <w:sz w:val="20"/>
          <w:lang w:eastAsia="zh-CN"/>
        </w:rPr>
      </w:r>
      <w:r w:rsidR="003D6DDB">
        <w:rPr>
          <w:rFonts w:eastAsia="SimSun"/>
          <w:sz w:val="20"/>
          <w:lang w:eastAsia="zh-CN"/>
        </w:rPr>
        <w:fldChar w:fldCharType="separate"/>
      </w:r>
      <w:r w:rsidR="003D6DDB">
        <w:rPr>
          <w:rFonts w:eastAsia="SimSun"/>
          <w:sz w:val="20"/>
          <w:lang w:eastAsia="zh-CN"/>
        </w:rPr>
        <w:t>[4]</w:t>
      </w:r>
      <w:r w:rsidR="003D6DDB">
        <w:rPr>
          <w:rFonts w:eastAsia="SimSun"/>
          <w:sz w:val="20"/>
          <w:lang w:eastAsia="zh-CN"/>
        </w:rPr>
        <w:fldChar w:fldCharType="end"/>
      </w:r>
      <w:r w:rsidR="003D6DDB">
        <w:rPr>
          <w:rFonts w:eastAsia="SimSun"/>
          <w:sz w:val="20"/>
          <w:lang w:eastAsia="zh-CN"/>
        </w:rPr>
        <w:t>.</w:t>
      </w:r>
    </w:p>
    <w:tbl>
      <w:tblPr>
        <w:tblStyle w:val="TableGrid"/>
        <w:tblW w:w="0" w:type="auto"/>
        <w:tblLook w:val="04A0" w:firstRow="1" w:lastRow="0" w:firstColumn="1" w:lastColumn="0" w:noHBand="0" w:noVBand="1"/>
      </w:tblPr>
      <w:tblGrid>
        <w:gridCol w:w="9631"/>
      </w:tblGrid>
      <w:tr w:rsidR="003C153E" w14:paraId="1AAB684A" w14:textId="77777777" w:rsidTr="003C153E">
        <w:tc>
          <w:tcPr>
            <w:tcW w:w="9631" w:type="dxa"/>
          </w:tcPr>
          <w:p w14:paraId="56CC0768" w14:textId="69A0AF90" w:rsidR="003C153E" w:rsidRPr="0088650D" w:rsidRDefault="003C153E" w:rsidP="003C153E">
            <w:pPr>
              <w:keepNext/>
              <w:keepLines/>
              <w:jc w:val="both"/>
              <w:rPr>
                <w:sz w:val="20"/>
                <w:lang w:eastAsia="x-none"/>
              </w:rPr>
            </w:pPr>
            <w:r w:rsidRPr="0088650D">
              <w:rPr>
                <w:sz w:val="20"/>
                <w:lang w:eastAsia="x-none"/>
              </w:rPr>
              <w:t xml:space="preserve">WI </w:t>
            </w:r>
            <w:r w:rsidR="003D6DDB">
              <w:rPr>
                <w:rFonts w:eastAsia="SimSun"/>
                <w:sz w:val="20"/>
                <w:lang w:eastAsia="zh-CN"/>
              </w:rPr>
              <w:fldChar w:fldCharType="begin"/>
            </w:r>
            <w:r w:rsidR="003D6DDB">
              <w:rPr>
                <w:rFonts w:eastAsia="SimSun"/>
                <w:sz w:val="20"/>
                <w:lang w:eastAsia="zh-CN"/>
              </w:rPr>
              <w:instrText xml:space="preserve"> REF _Ref68603038 \n \h </w:instrText>
            </w:r>
            <w:r w:rsidR="003D6DDB">
              <w:rPr>
                <w:rFonts w:eastAsia="SimSun"/>
                <w:sz w:val="20"/>
                <w:lang w:eastAsia="zh-CN"/>
              </w:rPr>
            </w:r>
            <w:r w:rsidR="003D6DDB">
              <w:rPr>
                <w:rFonts w:eastAsia="SimSun"/>
                <w:sz w:val="20"/>
                <w:lang w:eastAsia="zh-CN"/>
              </w:rPr>
              <w:fldChar w:fldCharType="separate"/>
            </w:r>
            <w:r w:rsidR="003D6DDB">
              <w:rPr>
                <w:rFonts w:eastAsia="SimSun"/>
                <w:sz w:val="20"/>
                <w:lang w:eastAsia="zh-CN"/>
              </w:rPr>
              <w:t>[4]</w:t>
            </w:r>
            <w:r w:rsidR="003D6DDB">
              <w:rPr>
                <w:rFonts w:eastAsia="SimSun"/>
                <w:sz w:val="20"/>
                <w:lang w:eastAsia="zh-CN"/>
              </w:rPr>
              <w:fldChar w:fldCharType="end"/>
            </w:r>
            <w:r w:rsidRPr="0088650D">
              <w:rPr>
                <w:sz w:val="20"/>
                <w:lang w:eastAsia="x-none"/>
              </w:rPr>
              <w:t>:</w:t>
            </w:r>
          </w:p>
          <w:p w14:paraId="76A225F4" w14:textId="77777777" w:rsidR="003D6DDB" w:rsidRPr="003D6DDB" w:rsidRDefault="003D6DDB" w:rsidP="003D6DDB">
            <w:pPr>
              <w:pStyle w:val="BodyText"/>
              <w:numPr>
                <w:ilvl w:val="0"/>
                <w:numId w:val="11"/>
              </w:numPr>
              <w:overflowPunct w:val="0"/>
              <w:spacing w:after="120"/>
              <w:jc w:val="both"/>
              <w:rPr>
                <w:rFonts w:ascii="Times" w:hAnsi="Times" w:cs="Times"/>
                <w:b/>
                <w:bCs/>
                <w:i/>
                <w:iCs/>
                <w:sz w:val="20"/>
                <w:szCs w:val="22"/>
              </w:rPr>
            </w:pPr>
            <w:r w:rsidRPr="003D6DDB">
              <w:rPr>
                <w:rFonts w:ascii="Times" w:hAnsi="Times" w:cs="Times"/>
                <w:bCs/>
                <w:i/>
                <w:iCs/>
                <w:sz w:val="20"/>
                <w:szCs w:val="22"/>
              </w:rPr>
              <w:t>Reduced maximum UE bandwidth:</w:t>
            </w:r>
          </w:p>
          <w:p w14:paraId="459709DC" w14:textId="77777777" w:rsidR="003D6DDB" w:rsidRPr="003D6DDB" w:rsidRDefault="003D6DDB" w:rsidP="003D6DDB">
            <w:pPr>
              <w:pStyle w:val="BodyText"/>
              <w:numPr>
                <w:ilvl w:val="1"/>
                <w:numId w:val="11"/>
              </w:numPr>
              <w:overflowPunct w:val="0"/>
              <w:spacing w:after="120"/>
              <w:jc w:val="both"/>
              <w:rPr>
                <w:rFonts w:ascii="Times" w:hAnsi="Times" w:cs="Times"/>
                <w:b/>
                <w:bCs/>
                <w:i/>
                <w:iCs/>
                <w:sz w:val="20"/>
                <w:szCs w:val="22"/>
              </w:rPr>
            </w:pPr>
            <w:r w:rsidRPr="003D6DDB">
              <w:rPr>
                <w:rFonts w:ascii="Times" w:hAnsi="Times" w:cs="Times"/>
                <w:bCs/>
                <w:i/>
                <w:iCs/>
                <w:sz w:val="20"/>
                <w:szCs w:val="22"/>
              </w:rPr>
              <w:t xml:space="preserve">Maximum bandwidth of an FR1 RedCap UE during and after initial access is 20 MHz. </w:t>
            </w:r>
          </w:p>
          <w:p w14:paraId="371E262D" w14:textId="52593BC5" w:rsidR="003C153E" w:rsidRPr="003D6DDB" w:rsidRDefault="003D6DDB" w:rsidP="003D6DDB">
            <w:pPr>
              <w:pStyle w:val="BodyText"/>
              <w:numPr>
                <w:ilvl w:val="1"/>
                <w:numId w:val="11"/>
              </w:numPr>
              <w:overflowPunct w:val="0"/>
              <w:spacing w:after="120"/>
              <w:jc w:val="both"/>
              <w:rPr>
                <w:rFonts w:ascii="Times" w:hAnsi="Times" w:cs="Times"/>
                <w:b/>
                <w:bCs/>
                <w:i/>
                <w:iCs/>
                <w:szCs w:val="22"/>
              </w:rPr>
            </w:pPr>
            <w:r w:rsidRPr="003D6DDB">
              <w:rPr>
                <w:rFonts w:ascii="Times" w:hAnsi="Times" w:cs="Times"/>
                <w:bCs/>
                <w:i/>
                <w:iCs/>
                <w:sz w:val="20"/>
                <w:szCs w:val="22"/>
              </w:rPr>
              <w:t>Maximum bandwidth of an FR2 RedCap UE during and after initial access is 100 MHz.</w:t>
            </w:r>
          </w:p>
        </w:tc>
      </w:tr>
    </w:tbl>
    <w:p w14:paraId="4BBB6FA8" w14:textId="51C68C24" w:rsidR="0036540E" w:rsidRDefault="001A4D53" w:rsidP="0036540E">
      <w:pPr>
        <w:pStyle w:val="Heading1"/>
      </w:pPr>
      <w:r>
        <w:t>Initial UL BWP for RedCap UEs</w:t>
      </w:r>
    </w:p>
    <w:p w14:paraId="12597885" w14:textId="66EACD4C" w:rsidR="00A6136B" w:rsidRPr="00A6136B" w:rsidRDefault="00A6136B" w:rsidP="00A6136B">
      <w:pPr>
        <w:spacing w:after="180"/>
        <w:rPr>
          <w:lang w:val="en-GB"/>
        </w:rPr>
      </w:pPr>
      <w:r w:rsidRPr="00A6136B">
        <w:rPr>
          <w:sz w:val="20"/>
          <w:szCs w:val="20"/>
        </w:rPr>
        <w:t>RAN1#104</w:t>
      </w:r>
      <w:r>
        <w:rPr>
          <w:sz w:val="20"/>
          <w:szCs w:val="20"/>
        </w:rPr>
        <w:t>bis-</w:t>
      </w:r>
      <w:r w:rsidRPr="00A6136B">
        <w:rPr>
          <w:sz w:val="20"/>
          <w:szCs w:val="20"/>
        </w:rPr>
        <w:t xml:space="preserve">e made the following agreements related to </w:t>
      </w:r>
      <w:r>
        <w:rPr>
          <w:sz w:val="20"/>
          <w:szCs w:val="20"/>
        </w:rPr>
        <w:t>initial UL BWP</w:t>
      </w:r>
      <w:r w:rsidRPr="00A6136B">
        <w:rPr>
          <w:sz w:val="20"/>
          <w:szCs w:val="20"/>
        </w:rPr>
        <w:t xml:space="preserve"> configuration:</w:t>
      </w:r>
    </w:p>
    <w:tbl>
      <w:tblPr>
        <w:tblStyle w:val="TableGrid"/>
        <w:tblW w:w="0" w:type="auto"/>
        <w:tblLook w:val="04A0" w:firstRow="1" w:lastRow="0" w:firstColumn="1" w:lastColumn="0" w:noHBand="0" w:noVBand="1"/>
      </w:tblPr>
      <w:tblGrid>
        <w:gridCol w:w="9631"/>
      </w:tblGrid>
      <w:tr w:rsidR="00F70374" w14:paraId="749797E6" w14:textId="77777777" w:rsidTr="00F70374">
        <w:tc>
          <w:tcPr>
            <w:tcW w:w="9631" w:type="dxa"/>
          </w:tcPr>
          <w:p w14:paraId="3BA9CEDE" w14:textId="77777777" w:rsidR="00F70374" w:rsidRDefault="00F70374" w:rsidP="00F70374">
            <w:pPr>
              <w:pStyle w:val="NormalWeb"/>
              <w:spacing w:before="0" w:beforeAutospacing="0" w:after="0" w:afterAutospacing="0"/>
              <w:rPr>
                <w:rFonts w:ascii="Times" w:hAnsi="Times" w:cs="Times"/>
                <w:color w:val="000000"/>
                <w:sz w:val="20"/>
                <w:szCs w:val="20"/>
                <w:lang w:val="sv-SE"/>
              </w:rPr>
            </w:pPr>
            <w:r>
              <w:rPr>
                <w:rFonts w:ascii="Times" w:hAnsi="Times" w:cs="Times"/>
                <w:color w:val="000000"/>
                <w:sz w:val="20"/>
                <w:szCs w:val="20"/>
                <w:highlight w:val="green"/>
                <w:lang w:val="sv-SE"/>
              </w:rPr>
              <w:t>Agreement</w:t>
            </w:r>
            <w:r>
              <w:rPr>
                <w:rFonts w:ascii="Times" w:hAnsi="Times" w:cs="Times"/>
                <w:color w:val="000000"/>
                <w:sz w:val="20"/>
                <w:szCs w:val="20"/>
                <w:lang w:val="sv-SE"/>
              </w:rPr>
              <w:t>:</w:t>
            </w:r>
          </w:p>
          <w:p w14:paraId="7C71DED4" w14:textId="77777777" w:rsidR="00F70374" w:rsidRPr="00D679D6" w:rsidRDefault="00F70374" w:rsidP="00F70374">
            <w:pPr>
              <w:numPr>
                <w:ilvl w:val="0"/>
                <w:numId w:val="29"/>
              </w:numPr>
              <w:ind w:left="540"/>
              <w:textAlignment w:val="center"/>
              <w:rPr>
                <w:rFonts w:ascii="Calibri" w:hAnsi="Calibri"/>
                <w:color w:val="000000"/>
                <w:sz w:val="22"/>
                <w:szCs w:val="22"/>
                <w:lang w:val="en-GB"/>
              </w:rPr>
            </w:pPr>
            <w:r w:rsidRPr="00D679D6">
              <w:rPr>
                <w:rFonts w:ascii="Times" w:hAnsi="Times" w:cs="Times"/>
                <w:color w:val="000000"/>
                <w:sz w:val="20"/>
                <w:szCs w:val="20"/>
                <w:lang w:val="en-GB"/>
              </w:rPr>
              <w:t>During initial access, for the scenario where the initial UL BWP for non-RedCap UEs is configured to be wider than the RedCap UE bandwidth</w:t>
            </w:r>
            <w:r w:rsidRPr="00D679D6">
              <w:rPr>
                <w:rFonts w:ascii="Times" w:hAnsi="Times" w:cs="Times"/>
                <w:sz w:val="20"/>
                <w:szCs w:val="20"/>
                <w:lang w:val="en-GB"/>
              </w:rPr>
              <w:t xml:space="preserve">, down select among </w:t>
            </w:r>
            <w:r w:rsidRPr="00D679D6">
              <w:rPr>
                <w:rFonts w:ascii="Times" w:hAnsi="Times" w:cs="Times"/>
                <w:color w:val="000000"/>
                <w:sz w:val="20"/>
                <w:szCs w:val="20"/>
                <w:lang w:val="en-GB"/>
              </w:rPr>
              <w:t>the following options in RAN1#105-e</w:t>
            </w:r>
          </w:p>
          <w:p w14:paraId="377E7675" w14:textId="77777777" w:rsidR="00F70374" w:rsidRPr="00D679D6" w:rsidRDefault="00F70374" w:rsidP="00F70374">
            <w:pPr>
              <w:numPr>
                <w:ilvl w:val="1"/>
                <w:numId w:val="29"/>
              </w:numPr>
              <w:ind w:left="1080"/>
              <w:textAlignment w:val="center"/>
              <w:rPr>
                <w:rFonts w:ascii="Calibri" w:hAnsi="Calibri"/>
                <w:color w:val="000000"/>
                <w:sz w:val="22"/>
                <w:szCs w:val="22"/>
                <w:lang w:val="en-GB"/>
              </w:rPr>
            </w:pPr>
            <w:r w:rsidRPr="00D679D6">
              <w:rPr>
                <w:rFonts w:ascii="Times" w:hAnsi="Times" w:cs="Times"/>
                <w:color w:val="000000"/>
                <w:sz w:val="20"/>
                <w:szCs w:val="20"/>
                <w:lang w:val="en-GB"/>
              </w:rPr>
              <w:t>Option 1: The scenario is allowed, and a RedCap UE can use the same UL BWP.</w:t>
            </w:r>
          </w:p>
          <w:p w14:paraId="099341B2" w14:textId="77777777" w:rsidR="00F70374" w:rsidRPr="00D679D6" w:rsidRDefault="00F70374" w:rsidP="00F70374">
            <w:pPr>
              <w:numPr>
                <w:ilvl w:val="1"/>
                <w:numId w:val="29"/>
              </w:numPr>
              <w:ind w:left="1080"/>
              <w:textAlignment w:val="center"/>
              <w:rPr>
                <w:rFonts w:ascii="Calibri" w:hAnsi="Calibri"/>
                <w:color w:val="000000"/>
                <w:sz w:val="22"/>
                <w:szCs w:val="22"/>
                <w:lang w:val="en-GB"/>
              </w:rPr>
            </w:pPr>
            <w:r w:rsidRPr="00D679D6">
              <w:rPr>
                <w:rFonts w:ascii="Times" w:hAnsi="Times" w:cs="Times"/>
                <w:color w:val="000000"/>
                <w:sz w:val="20"/>
                <w:szCs w:val="20"/>
                <w:lang w:val="en-GB"/>
              </w:rPr>
              <w:t>Option 2: The scenario is allowed, but a separate initial UL BWP no wider than the RedCap UE maximum bandwidth is configured/defined for RedCap UEs.</w:t>
            </w:r>
          </w:p>
          <w:p w14:paraId="1EC1430E" w14:textId="3544E0E5" w:rsidR="00F70374" w:rsidRPr="00D679D6" w:rsidRDefault="00F70374" w:rsidP="00803719">
            <w:pPr>
              <w:numPr>
                <w:ilvl w:val="1"/>
                <w:numId w:val="29"/>
              </w:numPr>
              <w:ind w:left="1080"/>
              <w:textAlignment w:val="center"/>
              <w:rPr>
                <w:rFonts w:ascii="Calibri" w:hAnsi="Calibri"/>
                <w:color w:val="000000"/>
                <w:sz w:val="22"/>
                <w:szCs w:val="22"/>
                <w:lang w:val="en-GB"/>
              </w:rPr>
            </w:pPr>
            <w:r w:rsidRPr="00D679D6">
              <w:rPr>
                <w:rFonts w:ascii="Times" w:hAnsi="Times" w:cs="Times"/>
                <w:color w:val="000000"/>
                <w:sz w:val="20"/>
                <w:szCs w:val="20"/>
                <w:lang w:val="en-GB"/>
              </w:rPr>
              <w:t>Option 3: The scenario is not allowed, and a RedCap UE is not expected to operate in an initial UL BWP wider than the RedCap UE maximum bandwidth. </w:t>
            </w:r>
          </w:p>
          <w:p w14:paraId="773644D4" w14:textId="77777777" w:rsidR="00F70374" w:rsidRDefault="00F70374" w:rsidP="00F70374">
            <w:pPr>
              <w:pStyle w:val="NormalWeb"/>
              <w:spacing w:before="0" w:beforeAutospacing="0" w:after="0" w:afterAutospacing="0"/>
              <w:ind w:left="540"/>
              <w:rPr>
                <w:rFonts w:ascii="Times" w:hAnsi="Times" w:cs="Times"/>
                <w:color w:val="000000"/>
                <w:sz w:val="20"/>
                <w:szCs w:val="20"/>
                <w:lang w:val="en-GB"/>
              </w:rPr>
            </w:pPr>
            <w:r>
              <w:rPr>
                <w:rFonts w:ascii="Times" w:hAnsi="Times" w:cs="Times"/>
                <w:color w:val="000000"/>
                <w:sz w:val="20"/>
                <w:szCs w:val="20"/>
                <w:lang w:val="en-GB"/>
              </w:rPr>
              <w:t> </w:t>
            </w:r>
          </w:p>
          <w:p w14:paraId="77FB6390" w14:textId="77777777" w:rsidR="00F70374" w:rsidRDefault="00F70374" w:rsidP="00F70374">
            <w:pPr>
              <w:pStyle w:val="NormalWeb"/>
              <w:spacing w:before="0" w:beforeAutospacing="0" w:after="0" w:afterAutospacing="0"/>
              <w:rPr>
                <w:rFonts w:ascii="Times" w:hAnsi="Times" w:cs="Times"/>
                <w:color w:val="000000"/>
                <w:sz w:val="20"/>
                <w:szCs w:val="20"/>
                <w:lang w:val="sv-SE"/>
              </w:rPr>
            </w:pPr>
            <w:r>
              <w:rPr>
                <w:rFonts w:ascii="Times" w:hAnsi="Times" w:cs="Times"/>
                <w:color w:val="000000"/>
                <w:sz w:val="20"/>
                <w:szCs w:val="20"/>
                <w:highlight w:val="green"/>
                <w:lang w:val="sv-SE"/>
              </w:rPr>
              <w:t>Agreement</w:t>
            </w:r>
            <w:r>
              <w:rPr>
                <w:rFonts w:ascii="Times" w:hAnsi="Times" w:cs="Times"/>
                <w:color w:val="000000"/>
                <w:sz w:val="20"/>
                <w:szCs w:val="20"/>
                <w:lang w:val="sv-SE"/>
              </w:rPr>
              <w:t>:</w:t>
            </w:r>
          </w:p>
          <w:p w14:paraId="0227708B" w14:textId="77777777" w:rsidR="00F70374" w:rsidRPr="00D679D6" w:rsidRDefault="00F70374" w:rsidP="00F70374">
            <w:pPr>
              <w:numPr>
                <w:ilvl w:val="0"/>
                <w:numId w:val="30"/>
              </w:numPr>
              <w:ind w:left="540"/>
              <w:textAlignment w:val="center"/>
              <w:rPr>
                <w:rFonts w:ascii="Calibri" w:hAnsi="Calibri"/>
                <w:sz w:val="22"/>
                <w:szCs w:val="22"/>
                <w:lang w:val="en-GB"/>
              </w:rPr>
            </w:pPr>
            <w:r w:rsidRPr="00D679D6">
              <w:rPr>
                <w:rFonts w:ascii="Times" w:hAnsi="Times" w:cs="Times"/>
                <w:sz w:val="20"/>
                <w:szCs w:val="20"/>
                <w:lang w:val="en-GB"/>
              </w:rPr>
              <w:t>After initial access, for the scenario where the initial UL BWP for non-RedCap UEs is configured to be wider than the RedCap UE bandwidth, down select among the following options in RAN1#105-e:</w:t>
            </w:r>
          </w:p>
          <w:p w14:paraId="3E154742" w14:textId="77777777" w:rsidR="00F70374" w:rsidRPr="00D679D6" w:rsidRDefault="00F70374" w:rsidP="00F70374">
            <w:pPr>
              <w:numPr>
                <w:ilvl w:val="1"/>
                <w:numId w:val="30"/>
              </w:numPr>
              <w:ind w:left="1080"/>
              <w:textAlignment w:val="center"/>
              <w:rPr>
                <w:rFonts w:ascii="Calibri" w:hAnsi="Calibri"/>
                <w:sz w:val="22"/>
                <w:szCs w:val="22"/>
                <w:lang w:val="en-GB"/>
              </w:rPr>
            </w:pPr>
            <w:r w:rsidRPr="00D679D6">
              <w:rPr>
                <w:rFonts w:ascii="Times" w:hAnsi="Times" w:cs="Times"/>
                <w:sz w:val="20"/>
                <w:szCs w:val="20"/>
                <w:lang w:val="en-GB"/>
              </w:rPr>
              <w:t>Option 1: The scenario is allowed, and a RedCap UE can use the same UL BWP.</w:t>
            </w:r>
          </w:p>
          <w:p w14:paraId="3EB3CD14" w14:textId="77777777" w:rsidR="00F70374" w:rsidRPr="00D679D6" w:rsidRDefault="00F70374" w:rsidP="00F70374">
            <w:pPr>
              <w:numPr>
                <w:ilvl w:val="1"/>
                <w:numId w:val="30"/>
              </w:numPr>
              <w:ind w:left="1080"/>
              <w:textAlignment w:val="center"/>
              <w:rPr>
                <w:rFonts w:ascii="Calibri" w:hAnsi="Calibri"/>
                <w:sz w:val="22"/>
                <w:szCs w:val="22"/>
                <w:lang w:val="en-GB"/>
              </w:rPr>
            </w:pPr>
            <w:r w:rsidRPr="00D679D6">
              <w:rPr>
                <w:rFonts w:ascii="Times" w:hAnsi="Times" w:cs="Times"/>
                <w:sz w:val="20"/>
                <w:szCs w:val="20"/>
                <w:lang w:val="en-GB"/>
              </w:rPr>
              <w:t>Option 2: The scenario is allowed, but a separate initial UL BWP no wider than the RedCap UE maximum bandwidth is configured/defined for RedCap UEs.</w:t>
            </w:r>
          </w:p>
          <w:p w14:paraId="5B555B2C" w14:textId="59BC331D" w:rsidR="00F70374" w:rsidRPr="00F70374" w:rsidRDefault="00F70374" w:rsidP="00F70374">
            <w:pPr>
              <w:numPr>
                <w:ilvl w:val="1"/>
                <w:numId w:val="30"/>
              </w:numPr>
              <w:ind w:left="1080"/>
              <w:textAlignment w:val="center"/>
              <w:rPr>
                <w:rFonts w:ascii="Calibri" w:hAnsi="Calibri"/>
                <w:color w:val="000000"/>
                <w:sz w:val="22"/>
                <w:szCs w:val="22"/>
                <w:lang w:val="en-GB"/>
              </w:rPr>
            </w:pPr>
            <w:r w:rsidRPr="00D679D6">
              <w:rPr>
                <w:rFonts w:ascii="Times" w:hAnsi="Times" w:cs="Times"/>
                <w:sz w:val="20"/>
                <w:szCs w:val="20"/>
                <w:lang w:val="en-GB"/>
              </w:rPr>
              <w:t xml:space="preserve">Option 3: The scenario is not allowed, and a </w:t>
            </w:r>
            <w:r>
              <w:rPr>
                <w:rFonts w:ascii="Times" w:hAnsi="Times" w:cs="Times"/>
                <w:color w:val="000000"/>
                <w:sz w:val="20"/>
                <w:szCs w:val="20"/>
                <w:lang w:val="en-GB"/>
              </w:rPr>
              <w:t>RedCap UE is not expected to operate in an initial UL BWP wider than the RedCap UE maximum bandwidth.</w:t>
            </w:r>
          </w:p>
        </w:tc>
      </w:tr>
    </w:tbl>
    <w:p w14:paraId="0F1BB34C" w14:textId="77777777" w:rsidR="00F70374" w:rsidRDefault="00F70374" w:rsidP="00F70374">
      <w:pPr>
        <w:rPr>
          <w:lang w:val="en-GB"/>
        </w:rPr>
      </w:pPr>
    </w:p>
    <w:p w14:paraId="4AFD0DFC" w14:textId="64433B4C" w:rsidR="001104D2" w:rsidRDefault="001104D2" w:rsidP="001104D2">
      <w:pPr>
        <w:spacing w:after="120"/>
        <w:jc w:val="both"/>
        <w:rPr>
          <w:sz w:val="20"/>
          <w:szCs w:val="20"/>
        </w:rPr>
      </w:pPr>
      <w:r w:rsidRPr="0036540E">
        <w:rPr>
          <w:sz w:val="20"/>
          <w:szCs w:val="20"/>
        </w:rPr>
        <w:t>I</w:t>
      </w:r>
      <w:r>
        <w:rPr>
          <w:sz w:val="20"/>
          <w:szCs w:val="20"/>
        </w:rPr>
        <w:t xml:space="preserve">n the uplink the </w:t>
      </w:r>
      <w:r w:rsidR="00E360A0">
        <w:rPr>
          <w:sz w:val="20"/>
          <w:szCs w:val="20"/>
        </w:rPr>
        <w:t>initial BWP</w:t>
      </w:r>
      <w:r>
        <w:rPr>
          <w:sz w:val="20"/>
          <w:szCs w:val="20"/>
        </w:rPr>
        <w:t xml:space="preserve"> is </w:t>
      </w:r>
      <w:r w:rsidR="00E360A0">
        <w:rPr>
          <w:sz w:val="20"/>
          <w:szCs w:val="20"/>
        </w:rPr>
        <w:t>typically</w:t>
      </w:r>
      <w:r>
        <w:rPr>
          <w:sz w:val="20"/>
          <w:szCs w:val="20"/>
        </w:rPr>
        <w:t xml:space="preserve"> configured </w:t>
      </w:r>
      <w:r w:rsidR="00E360A0">
        <w:rPr>
          <w:sz w:val="20"/>
          <w:szCs w:val="20"/>
        </w:rPr>
        <w:t>wider than the maximum RedCap UE BW</w:t>
      </w:r>
      <w:r>
        <w:rPr>
          <w:sz w:val="20"/>
          <w:szCs w:val="20"/>
        </w:rPr>
        <w:t xml:space="preserve">. Option 3 would represent a significant restriction for the scheduling of non-redcap UEs. Therefore, we prefer Option 1 and Option 2. Option 2 is straightforward but risks fragmenting PRACH/PUSCH resources by establishing a rigid split between RedCap and non-RedCap resources. </w:t>
      </w:r>
      <w:r w:rsidR="00E360A0">
        <w:rPr>
          <w:sz w:val="20"/>
          <w:szCs w:val="20"/>
        </w:rPr>
        <w:t xml:space="preserve">Option 1 maximizes the opportunity for frequency diversity and flexible allocation of resources. Long frequency hops for PUCCH between the two edges of the BWP are practical for frequency diversity and in avoiding the fragmentation of PUSCH allocations as well. Yet, </w:t>
      </w:r>
      <w:r>
        <w:rPr>
          <w:sz w:val="20"/>
          <w:szCs w:val="20"/>
        </w:rPr>
        <w:t xml:space="preserve">Option 1 </w:t>
      </w:r>
      <w:r w:rsidR="00BC4B26">
        <w:rPr>
          <w:sz w:val="20"/>
          <w:szCs w:val="20"/>
        </w:rPr>
        <w:t>needs to handle certain challenges</w:t>
      </w:r>
      <w:r>
        <w:rPr>
          <w:sz w:val="20"/>
          <w:szCs w:val="20"/>
        </w:rPr>
        <w:t xml:space="preserve">: </w:t>
      </w:r>
      <w:r w:rsidR="00E360A0">
        <w:rPr>
          <w:sz w:val="20"/>
          <w:szCs w:val="20"/>
        </w:rPr>
        <w:t xml:space="preserve">long </w:t>
      </w:r>
      <w:r>
        <w:rPr>
          <w:sz w:val="20"/>
          <w:szCs w:val="20"/>
        </w:rPr>
        <w:t>frequency hop</w:t>
      </w:r>
      <w:r w:rsidR="00E360A0">
        <w:rPr>
          <w:sz w:val="20"/>
          <w:szCs w:val="20"/>
        </w:rPr>
        <w:t>s</w:t>
      </w:r>
      <w:r>
        <w:rPr>
          <w:sz w:val="20"/>
          <w:szCs w:val="20"/>
        </w:rPr>
        <w:t xml:space="preserve"> requires RF retuning, which will erase a certain number of symbols; measurements can only be accomplished over the range of the actual RF bandwidth; etc.</w:t>
      </w:r>
      <w:r w:rsidR="00E360A0">
        <w:rPr>
          <w:sz w:val="20"/>
          <w:szCs w:val="20"/>
        </w:rPr>
        <w:t xml:space="preserve"> </w:t>
      </w:r>
    </w:p>
    <w:p w14:paraId="63F53C69" w14:textId="7369AE7F" w:rsidR="001104D2" w:rsidRDefault="00B20E93" w:rsidP="001104D2">
      <w:pPr>
        <w:spacing w:after="120"/>
        <w:jc w:val="both"/>
        <w:rPr>
          <w:sz w:val="20"/>
          <w:szCs w:val="20"/>
        </w:rPr>
      </w:pPr>
      <w:r>
        <w:rPr>
          <w:sz w:val="20"/>
          <w:szCs w:val="20"/>
        </w:rPr>
        <w:t>With Option 1, too,</w:t>
      </w:r>
      <w:r w:rsidR="001104D2">
        <w:rPr>
          <w:sz w:val="20"/>
          <w:szCs w:val="20"/>
        </w:rPr>
        <w:t xml:space="preserve"> certain </w:t>
      </w:r>
      <w:r>
        <w:rPr>
          <w:sz w:val="20"/>
          <w:szCs w:val="20"/>
        </w:rPr>
        <w:t xml:space="preserve">scheduling </w:t>
      </w:r>
      <w:r w:rsidR="001104D2">
        <w:rPr>
          <w:sz w:val="20"/>
          <w:szCs w:val="20"/>
        </w:rPr>
        <w:t xml:space="preserve">restrictions seem necessary. Transmissions should not be punctured. Scheduling should be restricted so that it allows for RF retuning between </w:t>
      </w:r>
      <w:r w:rsidR="00E360A0">
        <w:rPr>
          <w:sz w:val="20"/>
          <w:szCs w:val="20"/>
        </w:rPr>
        <w:t xml:space="preserve">subsequent </w:t>
      </w:r>
      <w:r w:rsidR="001104D2">
        <w:rPr>
          <w:sz w:val="20"/>
          <w:szCs w:val="20"/>
        </w:rPr>
        <w:t>uplink transmissions</w:t>
      </w:r>
      <w:r w:rsidR="00E360A0">
        <w:rPr>
          <w:sz w:val="20"/>
          <w:szCs w:val="20"/>
        </w:rPr>
        <w:t xml:space="preserve"> or</w:t>
      </w:r>
      <w:r w:rsidR="001104D2">
        <w:rPr>
          <w:sz w:val="20"/>
          <w:szCs w:val="20"/>
        </w:rPr>
        <w:t xml:space="preserve"> downlink receptions. PUSCH frequency hopping could be supported between repetitions by allowing a time gap for the re-tuning between the repetitions. Thus the TBS calculation would take into account the re-tuning time gap</w:t>
      </w:r>
      <w:r w:rsidR="00F574AA">
        <w:rPr>
          <w:sz w:val="20"/>
          <w:szCs w:val="20"/>
        </w:rPr>
        <w:t>,</w:t>
      </w:r>
      <w:r w:rsidR="001104D2">
        <w:rPr>
          <w:sz w:val="20"/>
          <w:szCs w:val="20"/>
        </w:rPr>
        <w:t xml:space="preserve"> and the first symbol following the frequency hop would </w:t>
      </w:r>
      <w:r w:rsidR="00F574AA">
        <w:rPr>
          <w:sz w:val="20"/>
          <w:szCs w:val="20"/>
        </w:rPr>
        <w:t>carry</w:t>
      </w:r>
      <w:r w:rsidR="001104D2">
        <w:rPr>
          <w:sz w:val="20"/>
          <w:szCs w:val="20"/>
        </w:rPr>
        <w:t xml:space="preserve"> DMRS.</w:t>
      </w:r>
    </w:p>
    <w:p w14:paraId="3C19E53C" w14:textId="77371019" w:rsidR="001104D2" w:rsidRDefault="00F574AA" w:rsidP="001104D2">
      <w:pPr>
        <w:spacing w:after="120"/>
        <w:jc w:val="both"/>
        <w:rPr>
          <w:sz w:val="20"/>
          <w:szCs w:val="20"/>
        </w:rPr>
      </w:pPr>
      <w:r>
        <w:rPr>
          <w:sz w:val="20"/>
          <w:szCs w:val="20"/>
        </w:rPr>
        <w:t xml:space="preserve">Frequency hopping with a retuning time gap could be supported with long </w:t>
      </w:r>
      <w:r w:rsidR="001104D2">
        <w:rPr>
          <w:sz w:val="20"/>
          <w:szCs w:val="20"/>
        </w:rPr>
        <w:t xml:space="preserve">PUCCH transmission </w:t>
      </w:r>
      <w:r>
        <w:rPr>
          <w:sz w:val="20"/>
          <w:szCs w:val="20"/>
        </w:rPr>
        <w:t xml:space="preserve">as well. To preserve the orthogonality of the PUCCH allocations amongst UEs we propose that the applied orthogonal cover code be selected </w:t>
      </w:r>
      <w:r>
        <w:rPr>
          <w:sz w:val="20"/>
          <w:szCs w:val="20"/>
        </w:rPr>
        <w:lastRenderedPageBreak/>
        <w:t xml:space="preserve">based on the number of transmitted symbols, and all UE’s (RedCap or non-RedCap) multiplexed on such resources </w:t>
      </w:r>
      <w:r w:rsidR="00E360A0">
        <w:rPr>
          <w:sz w:val="20"/>
          <w:szCs w:val="20"/>
        </w:rPr>
        <w:t>omit transmission in</w:t>
      </w:r>
      <w:r>
        <w:rPr>
          <w:sz w:val="20"/>
          <w:szCs w:val="20"/>
        </w:rPr>
        <w:t xml:space="preserve"> the time gap. </w:t>
      </w:r>
    </w:p>
    <w:p w14:paraId="4D7137C8" w14:textId="6812377A" w:rsidR="001104D2" w:rsidRDefault="00CE6537" w:rsidP="001104D2">
      <w:pPr>
        <w:spacing w:after="120"/>
        <w:jc w:val="both"/>
        <w:rPr>
          <w:sz w:val="20"/>
          <w:szCs w:val="20"/>
        </w:rPr>
      </w:pPr>
      <w:r>
        <w:rPr>
          <w:sz w:val="20"/>
          <w:szCs w:val="20"/>
        </w:rPr>
        <w:t>In option 1, scheduling of Msg1/Msg2/Msg3/Msg4 needs to take into account the delay necessary for RF retuning, if there is any.</w:t>
      </w:r>
    </w:p>
    <w:p w14:paraId="3DB7BA33" w14:textId="538606BB" w:rsidR="00BC4B26" w:rsidRPr="00BC4B26" w:rsidRDefault="00BC4B26" w:rsidP="001104D2">
      <w:pPr>
        <w:spacing w:after="120"/>
        <w:jc w:val="both"/>
        <w:rPr>
          <w:b/>
          <w:i/>
          <w:sz w:val="20"/>
          <w:szCs w:val="20"/>
        </w:rPr>
      </w:pPr>
      <w:r w:rsidRPr="00BC4B26">
        <w:rPr>
          <w:b/>
          <w:i/>
          <w:sz w:val="20"/>
          <w:szCs w:val="20"/>
        </w:rPr>
        <w:t>Proposal</w:t>
      </w:r>
      <w:r w:rsidR="00EA2A96">
        <w:rPr>
          <w:b/>
          <w:i/>
          <w:sz w:val="20"/>
          <w:szCs w:val="20"/>
        </w:rPr>
        <w:t xml:space="preserve"> 1</w:t>
      </w:r>
      <w:r w:rsidRPr="00BC4B26">
        <w:rPr>
          <w:b/>
          <w:i/>
          <w:sz w:val="20"/>
          <w:szCs w:val="20"/>
        </w:rPr>
        <w:t>: RedCap UE</w:t>
      </w:r>
      <w:r w:rsidR="00517275">
        <w:rPr>
          <w:b/>
          <w:i/>
          <w:sz w:val="20"/>
          <w:szCs w:val="20"/>
        </w:rPr>
        <w:t>s</w:t>
      </w:r>
      <w:r w:rsidRPr="00BC4B26">
        <w:rPr>
          <w:b/>
          <w:i/>
          <w:sz w:val="20"/>
          <w:szCs w:val="20"/>
        </w:rPr>
        <w:t xml:space="preserve"> can use the same UL initial BWP as non-RedCap UE</w:t>
      </w:r>
      <w:r w:rsidR="00517275">
        <w:rPr>
          <w:b/>
          <w:i/>
          <w:sz w:val="20"/>
          <w:szCs w:val="20"/>
        </w:rPr>
        <w:t>s</w:t>
      </w:r>
      <w:r w:rsidRPr="00BC4B26">
        <w:rPr>
          <w:b/>
          <w:i/>
          <w:sz w:val="20"/>
          <w:szCs w:val="20"/>
        </w:rPr>
        <w:t xml:space="preserve"> even when it is wider than the RedCap UE bandwidth. </w:t>
      </w:r>
    </w:p>
    <w:p w14:paraId="076CE0A1" w14:textId="5FFDE2F0" w:rsidR="00BC4B26" w:rsidRPr="00BC4B26" w:rsidRDefault="00BC4B26" w:rsidP="00BC4B26">
      <w:pPr>
        <w:spacing w:after="120"/>
        <w:jc w:val="both"/>
        <w:rPr>
          <w:b/>
          <w:i/>
          <w:sz w:val="20"/>
          <w:szCs w:val="20"/>
        </w:rPr>
      </w:pPr>
      <w:r>
        <w:rPr>
          <w:b/>
          <w:i/>
          <w:sz w:val="20"/>
          <w:szCs w:val="20"/>
        </w:rPr>
        <w:t>Proposal</w:t>
      </w:r>
      <w:r w:rsidR="00EA2A96">
        <w:rPr>
          <w:b/>
          <w:i/>
          <w:sz w:val="20"/>
          <w:szCs w:val="20"/>
        </w:rPr>
        <w:t xml:space="preserve"> 2</w:t>
      </w:r>
      <w:r>
        <w:rPr>
          <w:b/>
          <w:i/>
          <w:sz w:val="20"/>
          <w:szCs w:val="20"/>
        </w:rPr>
        <w:t xml:space="preserve">: Support frequency hopping with proper RF-retuning between PUSCH repetitions. </w:t>
      </w:r>
    </w:p>
    <w:p w14:paraId="16D60B3D" w14:textId="29F7F66B" w:rsidR="00BC4B26" w:rsidRDefault="00BC4B26" w:rsidP="001104D2">
      <w:pPr>
        <w:spacing w:after="120"/>
        <w:jc w:val="both"/>
        <w:rPr>
          <w:b/>
          <w:i/>
          <w:sz w:val="20"/>
          <w:szCs w:val="20"/>
        </w:rPr>
      </w:pPr>
      <w:r>
        <w:rPr>
          <w:b/>
          <w:i/>
          <w:sz w:val="20"/>
          <w:szCs w:val="20"/>
        </w:rPr>
        <w:t>Proposal</w:t>
      </w:r>
      <w:r w:rsidR="00EA2A96">
        <w:rPr>
          <w:b/>
          <w:i/>
          <w:sz w:val="20"/>
          <w:szCs w:val="20"/>
        </w:rPr>
        <w:t xml:space="preserve"> 3</w:t>
      </w:r>
      <w:r>
        <w:rPr>
          <w:b/>
          <w:i/>
          <w:sz w:val="20"/>
          <w:szCs w:val="20"/>
        </w:rPr>
        <w:t>: Support frequency hopping with proper RF-retuning for long PUCCH transmissions. Select OCC based on the number of transmitted symbols excluding the time gap used for retuning.</w:t>
      </w:r>
    </w:p>
    <w:p w14:paraId="1309FB9B" w14:textId="06FC141E" w:rsidR="00DF1FC3" w:rsidRDefault="00DF1FC3" w:rsidP="00571103">
      <w:pPr>
        <w:pStyle w:val="Heading1"/>
      </w:pPr>
      <w:r>
        <w:t>Bandwidth-part switching</w:t>
      </w:r>
      <w:r w:rsidR="00CE6537">
        <w:t xml:space="preserve"> enhancement</w:t>
      </w:r>
      <w:r w:rsidR="00C87104">
        <w:t xml:space="preserve"> </w:t>
      </w:r>
    </w:p>
    <w:p w14:paraId="08764E17" w14:textId="2E0CEBEB" w:rsidR="00DF1FC3" w:rsidRDefault="00DF1FC3" w:rsidP="00DF1FC3">
      <w:pPr>
        <w:spacing w:after="120"/>
        <w:jc w:val="both"/>
        <w:rPr>
          <w:sz w:val="20"/>
        </w:rPr>
      </w:pPr>
      <w:r>
        <w:rPr>
          <w:sz w:val="20"/>
        </w:rPr>
        <w:t>T</w:t>
      </w:r>
      <w:r w:rsidR="00210749">
        <w:rPr>
          <w:sz w:val="20"/>
        </w:rPr>
        <w:t>he delay of dynamic BWP switching is an</w:t>
      </w:r>
      <w:r>
        <w:rPr>
          <w:sz w:val="20"/>
        </w:rPr>
        <w:t xml:space="preserve"> integer number of slots measured from the start of the slot where the switch is initiated by a triggering DCI, to the start of the slot where the earliest transmission may occur. Table 1 specifies this delay according to UE capability.  </w:t>
      </w:r>
    </w:p>
    <w:p w14:paraId="767F9835" w14:textId="5072FDD3" w:rsidR="00C87104" w:rsidRDefault="00C87104" w:rsidP="00DF1FC3">
      <w:pPr>
        <w:spacing w:after="120"/>
        <w:jc w:val="both"/>
        <w:rPr>
          <w:sz w:val="20"/>
        </w:rPr>
      </w:pPr>
      <w:r>
        <w:rPr>
          <w:sz w:val="20"/>
        </w:rPr>
        <w:t>The goal should be to support seamless frequent BWP switching, e.g. once per 10 ms. On one hand, the switching time needs to be reduced (without</w:t>
      </w:r>
      <w:r w:rsidR="00D679D6">
        <w:rPr>
          <w:sz w:val="20"/>
        </w:rPr>
        <w:t xml:space="preserve"> increasing the device complexity), on the other, the switching needs to be transparent to the scheduling. </w:t>
      </w:r>
      <w:r>
        <w:rPr>
          <w:sz w:val="20"/>
        </w:rPr>
        <w:t xml:space="preserve">    </w:t>
      </w:r>
    </w:p>
    <w:p w14:paraId="258911D1" w14:textId="3BCA6CC2" w:rsidR="00D679D6" w:rsidRDefault="00D679D6" w:rsidP="00DF1FC3">
      <w:pPr>
        <w:spacing w:after="120"/>
        <w:jc w:val="both"/>
        <w:rPr>
          <w:sz w:val="20"/>
        </w:rPr>
      </w:pPr>
      <w:r w:rsidRPr="00D679D6">
        <w:rPr>
          <w:sz w:val="20"/>
        </w:rPr>
        <w:t>Techniques to reduce the</w:t>
      </w:r>
      <w:r w:rsidR="00DF1FC3" w:rsidRPr="00D679D6">
        <w:rPr>
          <w:sz w:val="20"/>
        </w:rPr>
        <w:t xml:space="preserve"> BWP switch delay</w:t>
      </w:r>
      <w:r w:rsidRPr="00D679D6">
        <w:rPr>
          <w:sz w:val="20"/>
        </w:rPr>
        <w:t xml:space="preserve"> should be studied. These may include</w:t>
      </w:r>
      <w:r w:rsidR="00DF1FC3" w:rsidRPr="00D679D6">
        <w:rPr>
          <w:sz w:val="20"/>
        </w:rPr>
        <w:t xml:space="preserve"> rest</w:t>
      </w:r>
      <w:r w:rsidRPr="00D679D6">
        <w:rPr>
          <w:sz w:val="20"/>
        </w:rPr>
        <w:t>rictions to the reconfiguration</w:t>
      </w:r>
      <w:r w:rsidR="00DF1FC3" w:rsidRPr="00D679D6">
        <w:rPr>
          <w:sz w:val="20"/>
        </w:rPr>
        <w:t xml:space="preserve"> and</w:t>
      </w:r>
      <w:r w:rsidRPr="00D679D6">
        <w:rPr>
          <w:sz w:val="20"/>
        </w:rPr>
        <w:t xml:space="preserve">/or </w:t>
      </w:r>
      <w:r w:rsidR="00DF1FC3" w:rsidRPr="00D679D6">
        <w:rPr>
          <w:sz w:val="20"/>
        </w:rPr>
        <w:t>enhanc</w:t>
      </w:r>
      <w:r w:rsidRPr="00D679D6">
        <w:rPr>
          <w:sz w:val="20"/>
        </w:rPr>
        <w:t xml:space="preserve">ements to </w:t>
      </w:r>
      <w:r w:rsidR="00DF1FC3" w:rsidRPr="00D679D6">
        <w:rPr>
          <w:sz w:val="20"/>
        </w:rPr>
        <w:t>the trigger</w:t>
      </w:r>
      <w:r w:rsidRPr="00D679D6">
        <w:rPr>
          <w:sz w:val="20"/>
        </w:rPr>
        <w:t>ing</w:t>
      </w:r>
      <w:r w:rsidR="00DF1FC3" w:rsidRPr="00D679D6">
        <w:rPr>
          <w:sz w:val="20"/>
        </w:rPr>
        <w:t xml:space="preserve"> mechanism</w:t>
      </w:r>
      <w:r w:rsidRPr="00D679D6">
        <w:rPr>
          <w:sz w:val="20"/>
        </w:rPr>
        <w:t>. We propose that the dynamic t</w:t>
      </w:r>
      <w:r w:rsidR="00DF1FC3" w:rsidRPr="00D679D6">
        <w:rPr>
          <w:sz w:val="20"/>
        </w:rPr>
        <w:t>rigger</w:t>
      </w:r>
      <w:r w:rsidRPr="00D679D6">
        <w:rPr>
          <w:sz w:val="20"/>
        </w:rPr>
        <w:t xml:space="preserve"> is sent</w:t>
      </w:r>
      <w:r w:rsidR="00DF1FC3" w:rsidRPr="00D679D6">
        <w:rPr>
          <w:sz w:val="20"/>
        </w:rPr>
        <w:t xml:space="preserve"> in </w:t>
      </w:r>
      <w:r w:rsidRPr="00D679D6">
        <w:rPr>
          <w:sz w:val="20"/>
        </w:rPr>
        <w:t xml:space="preserve">advance and the switching starts at the start of the next (or </w:t>
      </w:r>
      <w:r w:rsidR="00184D53">
        <w:rPr>
          <w:sz w:val="20"/>
        </w:rPr>
        <w:t>the specified</w:t>
      </w:r>
      <w:r w:rsidRPr="00D679D6">
        <w:rPr>
          <w:sz w:val="20"/>
        </w:rPr>
        <w:t xml:space="preserve"> following) slot. </w:t>
      </w:r>
      <w:r>
        <w:rPr>
          <w:sz w:val="20"/>
        </w:rPr>
        <w:t xml:space="preserve">The changes in the configuration should be restricted in order to reduce the length of the switching.  </w:t>
      </w:r>
    </w:p>
    <w:p w14:paraId="4A20A7EC" w14:textId="5540D7D9" w:rsidR="00DF1FC3" w:rsidRDefault="00831E55" w:rsidP="0054322A">
      <w:pPr>
        <w:spacing w:after="120"/>
        <w:jc w:val="both"/>
        <w:rPr>
          <w:sz w:val="20"/>
        </w:rPr>
      </w:pPr>
      <w:r w:rsidRPr="00831E55">
        <w:rPr>
          <w:sz w:val="20"/>
        </w:rPr>
        <w:t xml:space="preserve">Resources scheduled before the fast BWP switching should be unambiguous. </w:t>
      </w:r>
      <w:r w:rsidR="00D679D6">
        <w:rPr>
          <w:sz w:val="20"/>
        </w:rPr>
        <w:t>Seamless scheduling across the fast BWP switching is possible in two ways. Either the RRC configured TDRA tables,</w:t>
      </w:r>
      <w:r w:rsidR="00517275">
        <w:rPr>
          <w:sz w:val="20"/>
        </w:rPr>
        <w:t xml:space="preserve"> K1 table, PUCCH resources,</w:t>
      </w:r>
      <w:r w:rsidR="00D679D6">
        <w:rPr>
          <w:sz w:val="20"/>
        </w:rPr>
        <w:t xml:space="preserve"> etc., </w:t>
      </w:r>
      <w:r>
        <w:rPr>
          <w:sz w:val="20"/>
        </w:rPr>
        <w:t>i.e.,</w:t>
      </w:r>
      <w:r w:rsidRPr="00831E55">
        <w:rPr>
          <w:sz w:val="20"/>
        </w:rPr>
        <w:t xml:space="preserve"> the relevant configurations</w:t>
      </w:r>
      <w:r>
        <w:rPr>
          <w:sz w:val="20"/>
        </w:rPr>
        <w:t>,</w:t>
      </w:r>
      <w:r w:rsidRPr="00831E55">
        <w:rPr>
          <w:sz w:val="20"/>
        </w:rPr>
        <w:t xml:space="preserve"> do not change bet</w:t>
      </w:r>
      <w:r>
        <w:rPr>
          <w:sz w:val="20"/>
        </w:rPr>
        <w:t xml:space="preserve">ween the current and next BWPs, </w:t>
      </w:r>
      <w:r w:rsidR="00D679D6">
        <w:rPr>
          <w:sz w:val="20"/>
        </w:rPr>
        <w:t>or each scheduling DCI also carries the set flag that triggers the BWP change</w:t>
      </w:r>
      <w:r>
        <w:rPr>
          <w:sz w:val="20"/>
        </w:rPr>
        <w:t xml:space="preserve">, thus </w:t>
      </w:r>
      <w:r w:rsidRPr="00831E55">
        <w:rPr>
          <w:sz w:val="20"/>
        </w:rPr>
        <w:t>the fact of switching is known by the UE at the time of the scheduling.</w:t>
      </w:r>
      <w:r w:rsidR="00FA279C">
        <w:rPr>
          <w:sz w:val="20"/>
        </w:rPr>
        <w:t xml:space="preserve"> If a specific resource is scheduled after the slot where the switching starts then the configurations of the next BWP are used to determine the scheduled resources (e.g. PUCCH carrying HARQ-ACK).</w:t>
      </w:r>
      <w:r>
        <w:rPr>
          <w:sz w:val="20"/>
        </w:rPr>
        <w:t xml:space="preserve"> </w:t>
      </w:r>
      <w:r w:rsidR="00DF1FC3">
        <w:rPr>
          <w:sz w:val="20"/>
        </w:rPr>
        <w:t>In the extreme case, a fast switch is only supported between BWPs with identical configurations apart from the center frequency.</w:t>
      </w:r>
      <w:r w:rsidR="00973E63">
        <w:rPr>
          <w:sz w:val="20"/>
        </w:rPr>
        <w:t xml:space="preserve"> The set of center frequencies could be restricted as well. </w:t>
      </w:r>
    </w:p>
    <w:p w14:paraId="050F43E5" w14:textId="35AC6735" w:rsidR="00DF1FC3" w:rsidRDefault="00DF1FC3" w:rsidP="00DF1FC3">
      <w:pPr>
        <w:keepNext/>
        <w:keepLines/>
        <w:spacing w:after="120"/>
        <w:jc w:val="center"/>
        <w:rPr>
          <w:sz w:val="20"/>
        </w:rPr>
      </w:pPr>
      <w:r>
        <w:rPr>
          <w:sz w:val="20"/>
        </w:rPr>
        <w:t>Table 1. BWP switch delay</w:t>
      </w:r>
    </w:p>
    <w:p w14:paraId="513CC214" w14:textId="63D27574" w:rsidR="0054322A" w:rsidRDefault="00DF1FC3" w:rsidP="00DF1FC3">
      <w:pPr>
        <w:spacing w:after="120"/>
        <w:jc w:val="center"/>
        <w:rPr>
          <w:sz w:val="20"/>
        </w:rPr>
      </w:pPr>
      <w:r w:rsidRPr="00DF1FC3">
        <w:rPr>
          <w:noProof/>
          <w:sz w:val="20"/>
        </w:rPr>
        <w:drawing>
          <wp:inline distT="0" distB="0" distL="0" distR="0" wp14:anchorId="1BF0DF26" wp14:editId="01C4C75C">
            <wp:extent cx="3254174" cy="1561457"/>
            <wp:effectExtent l="0" t="0" r="3810" b="1270"/>
            <wp:docPr id="4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5"/>
                    <pic:cNvPicPr>
                      <a:picLocks noChangeAspect="1"/>
                    </pic:cNvPicPr>
                  </pic:nvPicPr>
                  <pic:blipFill rotWithShape="1">
                    <a:blip r:embed="rId13"/>
                    <a:srcRect l="2334" t="14390" r="4450" b="3849"/>
                    <a:stretch/>
                  </pic:blipFill>
                  <pic:spPr bwMode="auto">
                    <a:xfrm>
                      <a:off x="0" y="0"/>
                      <a:ext cx="3262843" cy="1565617"/>
                    </a:xfrm>
                    <a:prstGeom prst="rect">
                      <a:avLst/>
                    </a:prstGeom>
                    <a:ln>
                      <a:noFill/>
                    </a:ln>
                    <a:extLst>
                      <a:ext uri="{53640926-AAD7-44D8-BBD7-CCE9431645EC}">
                        <a14:shadowObscured xmlns:a14="http://schemas.microsoft.com/office/drawing/2010/main"/>
                      </a:ext>
                    </a:extLst>
                  </pic:spPr>
                </pic:pic>
              </a:graphicData>
            </a:graphic>
          </wp:inline>
        </w:drawing>
      </w:r>
      <w:r w:rsidR="0003464B" w:rsidRPr="00DF1FC3">
        <w:rPr>
          <w:sz w:val="20"/>
        </w:rPr>
        <w:t>.</w:t>
      </w:r>
    </w:p>
    <w:p w14:paraId="2C4994BF" w14:textId="132C4B68" w:rsidR="00343115" w:rsidRDefault="005C37E9" w:rsidP="00343115">
      <w:pPr>
        <w:spacing w:after="120"/>
        <w:rPr>
          <w:b/>
          <w:i/>
          <w:sz w:val="20"/>
        </w:rPr>
      </w:pPr>
      <w:r>
        <w:rPr>
          <w:b/>
          <w:i/>
          <w:sz w:val="20"/>
        </w:rPr>
        <w:t>Proposal 4</w:t>
      </w:r>
      <w:r w:rsidR="00343115">
        <w:rPr>
          <w:b/>
          <w:i/>
          <w:sz w:val="20"/>
        </w:rPr>
        <w:t>: T</w:t>
      </w:r>
      <w:r w:rsidR="00343115" w:rsidRPr="00184D53">
        <w:rPr>
          <w:b/>
          <w:i/>
          <w:sz w:val="20"/>
        </w:rPr>
        <w:t>he dynamic trigger</w:t>
      </w:r>
      <w:r w:rsidR="00343115">
        <w:rPr>
          <w:b/>
          <w:i/>
          <w:sz w:val="20"/>
        </w:rPr>
        <w:t xml:space="preserve"> for fast BWP switching</w:t>
      </w:r>
      <w:r w:rsidR="00343115" w:rsidRPr="00184D53">
        <w:rPr>
          <w:b/>
          <w:i/>
          <w:sz w:val="20"/>
        </w:rPr>
        <w:t xml:space="preserve"> is sent</w:t>
      </w:r>
      <w:r w:rsidR="00343115">
        <w:rPr>
          <w:b/>
          <w:i/>
          <w:sz w:val="20"/>
        </w:rPr>
        <w:t xml:space="preserve"> ahead of the slot in which the switching is started</w:t>
      </w:r>
      <w:r w:rsidR="00343115" w:rsidRPr="00184D53">
        <w:rPr>
          <w:b/>
          <w:i/>
          <w:sz w:val="20"/>
        </w:rPr>
        <w:t>.</w:t>
      </w:r>
    </w:p>
    <w:p w14:paraId="3F13C9BD" w14:textId="020CAE50" w:rsidR="00877E2C" w:rsidRPr="005D3C79" w:rsidRDefault="00835D7D" w:rsidP="00FC7CE6">
      <w:pPr>
        <w:pStyle w:val="Heading1"/>
        <w:ind w:left="431" w:hanging="431"/>
      </w:pPr>
      <w:r w:rsidRPr="00401394">
        <w:t>Conclusions</w:t>
      </w:r>
    </w:p>
    <w:p w14:paraId="2D0975F8" w14:textId="77777777" w:rsidR="005C37E9" w:rsidRDefault="005D3C79" w:rsidP="005C37E9">
      <w:pPr>
        <w:spacing w:after="120"/>
        <w:rPr>
          <w:b/>
          <w:i/>
          <w:sz w:val="20"/>
        </w:rPr>
      </w:pPr>
      <w:r w:rsidRPr="0088650D">
        <w:rPr>
          <w:sz w:val="20"/>
        </w:rPr>
        <w:t>I</w:t>
      </w:r>
      <w:r w:rsidR="00B264A0" w:rsidRPr="0088650D">
        <w:rPr>
          <w:sz w:val="20"/>
        </w:rPr>
        <w:t>n this contribution we</w:t>
      </w:r>
      <w:r w:rsidR="005C37E9">
        <w:rPr>
          <w:sz w:val="20"/>
        </w:rPr>
        <w:t xml:space="preserve"> made the following observation</w:t>
      </w:r>
      <w:r w:rsidR="00877E2C" w:rsidRPr="0088650D">
        <w:rPr>
          <w:sz w:val="20"/>
        </w:rPr>
        <w:t>:</w:t>
      </w:r>
      <w:r w:rsidR="005C37E9" w:rsidRPr="005C37E9">
        <w:rPr>
          <w:b/>
          <w:i/>
          <w:sz w:val="20"/>
        </w:rPr>
        <w:t xml:space="preserve"> </w:t>
      </w:r>
    </w:p>
    <w:p w14:paraId="669C09D7" w14:textId="0931924E" w:rsidR="00877E2C" w:rsidRPr="005C37E9" w:rsidRDefault="005C37E9" w:rsidP="005C37E9">
      <w:pPr>
        <w:spacing w:after="120"/>
        <w:rPr>
          <w:b/>
          <w:i/>
          <w:sz w:val="20"/>
        </w:rPr>
      </w:pPr>
      <w:r>
        <w:rPr>
          <w:b/>
          <w:i/>
          <w:sz w:val="20"/>
        </w:rPr>
        <w:t xml:space="preserve">Observation 1: </w:t>
      </w:r>
      <w:r w:rsidRPr="00517275">
        <w:rPr>
          <w:b/>
          <w:i/>
          <w:sz w:val="20"/>
        </w:rPr>
        <w:t>Resources schedul</w:t>
      </w:r>
      <w:r>
        <w:rPr>
          <w:b/>
          <w:i/>
          <w:sz w:val="20"/>
        </w:rPr>
        <w:t>ed before the fast BWP switch</w:t>
      </w:r>
      <w:r w:rsidRPr="00517275">
        <w:rPr>
          <w:b/>
          <w:i/>
          <w:sz w:val="20"/>
        </w:rPr>
        <w:t xml:space="preserve"> should be unambiguous. Either the relevant configurations do not change between the current and next BWPs or the fact of switching is known by the UE at the time of the scheduling.</w:t>
      </w:r>
    </w:p>
    <w:p w14:paraId="3A29ED98" w14:textId="58A909AA" w:rsidR="00B264A0" w:rsidRDefault="00B264A0" w:rsidP="00B264A0">
      <w:pPr>
        <w:spacing w:before="240" w:after="180"/>
        <w:rPr>
          <w:sz w:val="20"/>
        </w:rPr>
      </w:pPr>
      <w:r w:rsidRPr="0088650D">
        <w:rPr>
          <w:sz w:val="20"/>
        </w:rPr>
        <w:t>In this contribution we made the following proposals:</w:t>
      </w:r>
    </w:p>
    <w:p w14:paraId="33419B8C" w14:textId="77777777" w:rsidR="005C37E9" w:rsidRPr="00BC4B26" w:rsidRDefault="005C37E9" w:rsidP="005C37E9">
      <w:pPr>
        <w:spacing w:after="120"/>
        <w:jc w:val="both"/>
        <w:rPr>
          <w:b/>
          <w:i/>
          <w:sz w:val="20"/>
          <w:szCs w:val="20"/>
        </w:rPr>
      </w:pPr>
      <w:r w:rsidRPr="00BC4B26">
        <w:rPr>
          <w:b/>
          <w:i/>
          <w:sz w:val="20"/>
          <w:szCs w:val="20"/>
        </w:rPr>
        <w:lastRenderedPageBreak/>
        <w:t>Proposal</w:t>
      </w:r>
      <w:r>
        <w:rPr>
          <w:b/>
          <w:i/>
          <w:sz w:val="20"/>
          <w:szCs w:val="20"/>
        </w:rPr>
        <w:t xml:space="preserve"> 1</w:t>
      </w:r>
      <w:r w:rsidRPr="00BC4B26">
        <w:rPr>
          <w:b/>
          <w:i/>
          <w:sz w:val="20"/>
          <w:szCs w:val="20"/>
        </w:rPr>
        <w:t>: RedCap UE</w:t>
      </w:r>
      <w:r>
        <w:rPr>
          <w:b/>
          <w:i/>
          <w:sz w:val="20"/>
          <w:szCs w:val="20"/>
        </w:rPr>
        <w:t>s</w:t>
      </w:r>
      <w:r w:rsidRPr="00BC4B26">
        <w:rPr>
          <w:b/>
          <w:i/>
          <w:sz w:val="20"/>
          <w:szCs w:val="20"/>
        </w:rPr>
        <w:t xml:space="preserve"> can use the same UL initial BWP as non-RedCap UE</w:t>
      </w:r>
      <w:r>
        <w:rPr>
          <w:b/>
          <w:i/>
          <w:sz w:val="20"/>
          <w:szCs w:val="20"/>
        </w:rPr>
        <w:t>s</w:t>
      </w:r>
      <w:r w:rsidRPr="00BC4B26">
        <w:rPr>
          <w:b/>
          <w:i/>
          <w:sz w:val="20"/>
          <w:szCs w:val="20"/>
        </w:rPr>
        <w:t xml:space="preserve"> even when it is wider than the RedCap UE bandwidth. </w:t>
      </w:r>
    </w:p>
    <w:p w14:paraId="76F90832" w14:textId="77777777" w:rsidR="005C37E9" w:rsidRPr="00BC4B26" w:rsidRDefault="005C37E9" w:rsidP="005C37E9">
      <w:pPr>
        <w:spacing w:after="120"/>
        <w:jc w:val="both"/>
        <w:rPr>
          <w:b/>
          <w:i/>
          <w:sz w:val="20"/>
          <w:szCs w:val="20"/>
        </w:rPr>
      </w:pPr>
      <w:r>
        <w:rPr>
          <w:b/>
          <w:i/>
          <w:sz w:val="20"/>
          <w:szCs w:val="20"/>
        </w:rPr>
        <w:t xml:space="preserve">Proposal 2: Support frequency hopping with proper RF-retuning between PUSCH repetitions. </w:t>
      </w:r>
    </w:p>
    <w:p w14:paraId="4ABC6B29" w14:textId="77777777" w:rsidR="005C37E9" w:rsidRDefault="005C37E9" w:rsidP="005C37E9">
      <w:pPr>
        <w:spacing w:after="120"/>
        <w:jc w:val="both"/>
        <w:rPr>
          <w:b/>
          <w:i/>
          <w:sz w:val="20"/>
          <w:szCs w:val="20"/>
        </w:rPr>
      </w:pPr>
      <w:r>
        <w:rPr>
          <w:b/>
          <w:i/>
          <w:sz w:val="20"/>
          <w:szCs w:val="20"/>
        </w:rPr>
        <w:t>Proposal 3: Support frequency hopping with proper RF-retuning for long PUCCH transmissions. Select OCC based on the number of transmitted symbols excluding the time gap used for retuning.</w:t>
      </w:r>
    </w:p>
    <w:p w14:paraId="3486D261" w14:textId="04A9224F" w:rsidR="005C37E9" w:rsidRPr="005C37E9" w:rsidRDefault="005C37E9" w:rsidP="005C37E9">
      <w:pPr>
        <w:spacing w:after="120"/>
        <w:rPr>
          <w:b/>
          <w:i/>
          <w:sz w:val="20"/>
        </w:rPr>
      </w:pPr>
      <w:r>
        <w:rPr>
          <w:b/>
          <w:i/>
          <w:sz w:val="20"/>
        </w:rPr>
        <w:t>Proposal 4: T</w:t>
      </w:r>
      <w:r w:rsidRPr="00184D53">
        <w:rPr>
          <w:b/>
          <w:i/>
          <w:sz w:val="20"/>
        </w:rPr>
        <w:t>he dynamic trigger</w:t>
      </w:r>
      <w:r>
        <w:rPr>
          <w:b/>
          <w:i/>
          <w:sz w:val="20"/>
        </w:rPr>
        <w:t xml:space="preserve"> for fast BWP switching</w:t>
      </w:r>
      <w:r w:rsidRPr="00184D53">
        <w:rPr>
          <w:b/>
          <w:i/>
          <w:sz w:val="20"/>
        </w:rPr>
        <w:t xml:space="preserve"> is sent</w:t>
      </w:r>
      <w:r>
        <w:rPr>
          <w:b/>
          <w:i/>
          <w:sz w:val="20"/>
        </w:rPr>
        <w:t xml:space="preserve"> ahead of the slot in which the switching is started</w:t>
      </w:r>
      <w:r w:rsidRPr="00184D53">
        <w:rPr>
          <w:b/>
          <w:i/>
          <w:sz w:val="20"/>
        </w:rPr>
        <w:t>.</w:t>
      </w:r>
    </w:p>
    <w:p w14:paraId="1FE1EA38" w14:textId="34F9B171" w:rsidR="0042651F" w:rsidRPr="00401394" w:rsidRDefault="0042651F" w:rsidP="00306B1D">
      <w:pPr>
        <w:pStyle w:val="Heading1"/>
        <w:ind w:left="431" w:hanging="431"/>
      </w:pPr>
      <w:r w:rsidRPr="00401394">
        <w:t>References</w:t>
      </w:r>
    </w:p>
    <w:p w14:paraId="25B76DB4" w14:textId="67B4B224" w:rsidR="00306B1D" w:rsidRPr="0088650D" w:rsidRDefault="00301585" w:rsidP="00301585">
      <w:pPr>
        <w:numPr>
          <w:ilvl w:val="0"/>
          <w:numId w:val="2"/>
        </w:numPr>
        <w:rPr>
          <w:sz w:val="20"/>
        </w:rPr>
      </w:pPr>
      <w:bookmarkStart w:id="2" w:name="_Ref40432453"/>
      <w:bookmarkStart w:id="3" w:name="_Ref39750275"/>
      <w:bookmarkStart w:id="4" w:name="_Ref32331821"/>
      <w:bookmarkStart w:id="5" w:name="_Ref37229599"/>
      <w:r w:rsidRPr="0088650D">
        <w:rPr>
          <w:sz w:val="20"/>
        </w:rPr>
        <w:t xml:space="preserve">RP-193238 </w:t>
      </w:r>
      <w:r w:rsidR="00A76A6B" w:rsidRPr="0088650D">
        <w:rPr>
          <w:sz w:val="20"/>
        </w:rPr>
        <w:t xml:space="preserve">“New SID on support of reduced capability NR devices”, </w:t>
      </w:r>
      <w:r w:rsidR="005F0177" w:rsidRPr="0088650D">
        <w:rPr>
          <w:sz w:val="20"/>
        </w:rPr>
        <w:t xml:space="preserve">Ericsson, </w:t>
      </w:r>
      <w:r w:rsidRPr="0088650D">
        <w:rPr>
          <w:sz w:val="20"/>
        </w:rPr>
        <w:t>RAN#86, December 2019</w:t>
      </w:r>
      <w:bookmarkEnd w:id="2"/>
      <w:r w:rsidRPr="0088650D">
        <w:rPr>
          <w:sz w:val="20"/>
        </w:rPr>
        <w:t xml:space="preserve"> </w:t>
      </w:r>
      <w:bookmarkEnd w:id="3"/>
    </w:p>
    <w:p w14:paraId="397E5B93" w14:textId="22CF8E78" w:rsidR="00C33D11" w:rsidRPr="0088650D" w:rsidRDefault="00C33D11" w:rsidP="00C33D11">
      <w:pPr>
        <w:numPr>
          <w:ilvl w:val="0"/>
          <w:numId w:val="2"/>
        </w:numPr>
        <w:rPr>
          <w:sz w:val="20"/>
        </w:rPr>
      </w:pPr>
      <w:bookmarkStart w:id="6" w:name="_Ref46136565"/>
      <w:r w:rsidRPr="0088650D">
        <w:rPr>
          <w:sz w:val="20"/>
        </w:rPr>
        <w:t>RP-201386 “Revised SID on Study on support of reduced capability NR devices”, Ericsson, RAN#88e, July 2020</w:t>
      </w:r>
      <w:bookmarkEnd w:id="6"/>
    </w:p>
    <w:p w14:paraId="4B2B5168" w14:textId="109CBAFE" w:rsidR="003149EE" w:rsidRDefault="003149EE" w:rsidP="003149EE">
      <w:pPr>
        <w:numPr>
          <w:ilvl w:val="0"/>
          <w:numId w:val="2"/>
        </w:numPr>
        <w:rPr>
          <w:sz w:val="20"/>
        </w:rPr>
      </w:pPr>
      <w:bookmarkStart w:id="7" w:name="_Ref61883933"/>
      <w:r w:rsidRPr="0088650D">
        <w:rPr>
          <w:sz w:val="20"/>
        </w:rPr>
        <w:t>RP-202933 New WID on support of reduced capability NR devices, Ericsson, Nokia, December 2020</w:t>
      </w:r>
      <w:bookmarkEnd w:id="7"/>
      <w:r w:rsidRPr="0088650D">
        <w:rPr>
          <w:sz w:val="20"/>
        </w:rPr>
        <w:t xml:space="preserve"> </w:t>
      </w:r>
    </w:p>
    <w:p w14:paraId="0006997C" w14:textId="6F52E4D4" w:rsidR="003D6DDB" w:rsidRDefault="003D6DDB" w:rsidP="003D6DDB">
      <w:pPr>
        <w:numPr>
          <w:ilvl w:val="0"/>
          <w:numId w:val="2"/>
        </w:numPr>
        <w:rPr>
          <w:sz w:val="20"/>
        </w:rPr>
      </w:pPr>
      <w:bookmarkStart w:id="8" w:name="_Ref68603038"/>
      <w:r>
        <w:rPr>
          <w:sz w:val="20"/>
        </w:rPr>
        <w:t>RP-210918</w:t>
      </w:r>
      <w:r w:rsidRPr="0088650D">
        <w:rPr>
          <w:sz w:val="20"/>
        </w:rPr>
        <w:t xml:space="preserve"> New WID on support of reduced capability NR devices, Ericsson, Nokia, </w:t>
      </w:r>
      <w:r>
        <w:rPr>
          <w:sz w:val="20"/>
        </w:rPr>
        <w:t>March 2021</w:t>
      </w:r>
      <w:bookmarkEnd w:id="8"/>
      <w:r w:rsidRPr="0088650D">
        <w:rPr>
          <w:sz w:val="20"/>
        </w:rPr>
        <w:t xml:space="preserve"> </w:t>
      </w:r>
    </w:p>
    <w:p w14:paraId="1F803919" w14:textId="77777777" w:rsidR="00165A62" w:rsidRDefault="00165A62" w:rsidP="00165A62">
      <w:pPr>
        <w:ind w:left="360"/>
        <w:rPr>
          <w:sz w:val="20"/>
        </w:rPr>
      </w:pPr>
    </w:p>
    <w:p w14:paraId="0DEB71D8" w14:textId="77777777" w:rsidR="00C0163E" w:rsidRDefault="00C0163E" w:rsidP="00C0163E">
      <w:bookmarkStart w:id="9" w:name="_GoBack"/>
      <w:bookmarkEnd w:id="4"/>
      <w:bookmarkEnd w:id="5"/>
      <w:bookmarkEnd w:id="9"/>
    </w:p>
    <w:sectPr w:rsidR="00C0163E" w:rsidSect="00252EB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2ACD2" w14:textId="77777777" w:rsidR="00DB4D05" w:rsidRDefault="00DB4D05">
      <w:r>
        <w:separator/>
      </w:r>
    </w:p>
  </w:endnote>
  <w:endnote w:type="continuationSeparator" w:id="0">
    <w:p w14:paraId="0AFC48CB" w14:textId="77777777" w:rsidR="00DB4D05" w:rsidRDefault="00DB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charset w:val="00"/>
    <w:family w:val="roman"/>
    <w:pitch w:val="default"/>
  </w:font>
  <w:font w:name="Symbol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885636" w:rsidRDefault="00885636">
        <w:pPr>
          <w:pStyle w:val="Footer"/>
        </w:pPr>
        <w:r>
          <w:rPr>
            <w:noProof w:val="0"/>
          </w:rPr>
          <w:fldChar w:fldCharType="begin"/>
        </w:r>
        <w:r>
          <w:instrText xml:space="preserve"> PAGE   \* MERGEFORMAT </w:instrText>
        </w:r>
        <w:r>
          <w:rPr>
            <w:noProof w:val="0"/>
          </w:rPr>
          <w:fldChar w:fldCharType="separate"/>
        </w:r>
        <w:r w:rsidR="001B227C">
          <w:t>3</w:t>
        </w:r>
        <w:r>
          <w:fldChar w:fldCharType="end"/>
        </w:r>
      </w:p>
    </w:sdtContent>
  </w:sdt>
  <w:p w14:paraId="10846351" w14:textId="77777777" w:rsidR="00885636" w:rsidRDefault="00885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743B8" w14:textId="77777777" w:rsidR="00DB4D05" w:rsidRDefault="00DB4D05">
      <w:r>
        <w:separator/>
      </w:r>
    </w:p>
  </w:footnote>
  <w:footnote w:type="continuationSeparator" w:id="0">
    <w:p w14:paraId="497B30EF" w14:textId="77777777" w:rsidR="00DB4D05" w:rsidRDefault="00DB4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666CB"/>
    <w:multiLevelType w:val="multilevel"/>
    <w:tmpl w:val="8514B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3E4CB9"/>
    <w:multiLevelType w:val="hybridMultilevel"/>
    <w:tmpl w:val="86480D30"/>
    <w:lvl w:ilvl="0" w:tplc="B558989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F313174"/>
    <w:multiLevelType w:val="hybridMultilevel"/>
    <w:tmpl w:val="53B4B920"/>
    <w:lvl w:ilvl="0" w:tplc="1D000C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5E77AB3"/>
    <w:multiLevelType w:val="multilevel"/>
    <w:tmpl w:val="D116EB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072EE1"/>
    <w:multiLevelType w:val="multilevel"/>
    <w:tmpl w:val="63DEB654"/>
    <w:lvl w:ilvl="0">
      <w:start w:val="1"/>
      <w:numFmt w:val="bullet"/>
      <w:lvlText w:val=""/>
      <w:lvlJc w:val="left"/>
      <w:pPr>
        <w:tabs>
          <w:tab w:val="num" w:pos="-1256"/>
        </w:tabs>
        <w:ind w:left="-1256" w:hanging="360"/>
      </w:pPr>
      <w:rPr>
        <w:rFonts w:ascii="Symbol" w:hAnsi="Symbol" w:hint="default"/>
        <w:sz w:val="20"/>
      </w:rPr>
    </w:lvl>
    <w:lvl w:ilvl="1" w:tentative="1">
      <w:start w:val="1"/>
      <w:numFmt w:val="bullet"/>
      <w:lvlText w:val=""/>
      <w:lvlJc w:val="left"/>
      <w:pPr>
        <w:tabs>
          <w:tab w:val="num" w:pos="-536"/>
        </w:tabs>
        <w:ind w:left="-536" w:hanging="360"/>
      </w:pPr>
      <w:rPr>
        <w:rFonts w:ascii="Symbol" w:hAnsi="Symbol" w:hint="default"/>
        <w:sz w:val="20"/>
      </w:rPr>
    </w:lvl>
    <w:lvl w:ilvl="2" w:tentative="1">
      <w:start w:val="1"/>
      <w:numFmt w:val="bullet"/>
      <w:lvlText w:val=""/>
      <w:lvlJc w:val="left"/>
      <w:pPr>
        <w:tabs>
          <w:tab w:val="num" w:pos="184"/>
        </w:tabs>
        <w:ind w:left="184" w:hanging="360"/>
      </w:pPr>
      <w:rPr>
        <w:rFonts w:ascii="Symbol" w:hAnsi="Symbol" w:hint="default"/>
        <w:sz w:val="20"/>
      </w:rPr>
    </w:lvl>
    <w:lvl w:ilvl="3" w:tentative="1">
      <w:start w:val="1"/>
      <w:numFmt w:val="bullet"/>
      <w:lvlText w:val=""/>
      <w:lvlJc w:val="left"/>
      <w:pPr>
        <w:tabs>
          <w:tab w:val="num" w:pos="904"/>
        </w:tabs>
        <w:ind w:left="904" w:hanging="360"/>
      </w:pPr>
      <w:rPr>
        <w:rFonts w:ascii="Symbol" w:hAnsi="Symbol" w:hint="default"/>
        <w:sz w:val="20"/>
      </w:rPr>
    </w:lvl>
    <w:lvl w:ilvl="4" w:tentative="1">
      <w:start w:val="1"/>
      <w:numFmt w:val="bullet"/>
      <w:lvlText w:val=""/>
      <w:lvlJc w:val="left"/>
      <w:pPr>
        <w:tabs>
          <w:tab w:val="num" w:pos="1624"/>
        </w:tabs>
        <w:ind w:left="1624" w:hanging="360"/>
      </w:pPr>
      <w:rPr>
        <w:rFonts w:ascii="Symbol" w:hAnsi="Symbol" w:hint="default"/>
        <w:sz w:val="20"/>
      </w:rPr>
    </w:lvl>
    <w:lvl w:ilvl="5" w:tentative="1">
      <w:start w:val="1"/>
      <w:numFmt w:val="bullet"/>
      <w:lvlText w:val=""/>
      <w:lvlJc w:val="left"/>
      <w:pPr>
        <w:tabs>
          <w:tab w:val="num" w:pos="2344"/>
        </w:tabs>
        <w:ind w:left="2344" w:hanging="360"/>
      </w:pPr>
      <w:rPr>
        <w:rFonts w:ascii="Symbol" w:hAnsi="Symbol" w:hint="default"/>
        <w:sz w:val="20"/>
      </w:rPr>
    </w:lvl>
    <w:lvl w:ilvl="6" w:tentative="1">
      <w:start w:val="1"/>
      <w:numFmt w:val="bullet"/>
      <w:lvlText w:val=""/>
      <w:lvlJc w:val="left"/>
      <w:pPr>
        <w:tabs>
          <w:tab w:val="num" w:pos="3064"/>
        </w:tabs>
        <w:ind w:left="3064" w:hanging="360"/>
      </w:pPr>
      <w:rPr>
        <w:rFonts w:ascii="Symbol" w:hAnsi="Symbol" w:hint="default"/>
        <w:sz w:val="20"/>
      </w:rPr>
    </w:lvl>
    <w:lvl w:ilvl="7" w:tentative="1">
      <w:start w:val="1"/>
      <w:numFmt w:val="bullet"/>
      <w:lvlText w:val=""/>
      <w:lvlJc w:val="left"/>
      <w:pPr>
        <w:tabs>
          <w:tab w:val="num" w:pos="3784"/>
        </w:tabs>
        <w:ind w:left="3784" w:hanging="360"/>
      </w:pPr>
      <w:rPr>
        <w:rFonts w:ascii="Symbol" w:hAnsi="Symbol" w:hint="default"/>
        <w:sz w:val="20"/>
      </w:rPr>
    </w:lvl>
    <w:lvl w:ilvl="8" w:tentative="1">
      <w:start w:val="1"/>
      <w:numFmt w:val="bullet"/>
      <w:lvlText w:val=""/>
      <w:lvlJc w:val="left"/>
      <w:pPr>
        <w:tabs>
          <w:tab w:val="num" w:pos="4504"/>
        </w:tabs>
        <w:ind w:left="4504" w:hanging="360"/>
      </w:pPr>
      <w:rPr>
        <w:rFonts w:ascii="Symbol" w:hAnsi="Symbol" w:hint="default"/>
        <w:sz w:val="20"/>
      </w:rPr>
    </w:lvl>
  </w:abstractNum>
  <w:abstractNum w:abstractNumId="19"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05772D7"/>
    <w:multiLevelType w:val="hybridMultilevel"/>
    <w:tmpl w:val="DF82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106DA"/>
    <w:multiLevelType w:val="multilevel"/>
    <w:tmpl w:val="2CEA6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393815"/>
    <w:multiLevelType w:val="hybridMultilevel"/>
    <w:tmpl w:val="AB404C10"/>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1B7825"/>
    <w:multiLevelType w:val="multilevel"/>
    <w:tmpl w:val="D4625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6"/>
  </w:num>
  <w:num w:numId="4">
    <w:abstractNumId w:val="11"/>
  </w:num>
  <w:num w:numId="5">
    <w:abstractNumId w:val="32"/>
  </w:num>
  <w:num w:numId="6">
    <w:abstractNumId w:val="13"/>
  </w:num>
  <w:num w:numId="7">
    <w:abstractNumId w:val="2"/>
  </w:num>
  <w:num w:numId="8">
    <w:abstractNumId w:val="12"/>
  </w:num>
  <w:num w:numId="9">
    <w:abstractNumId w:val="16"/>
  </w:num>
  <w:num w:numId="10">
    <w:abstractNumId w:val="26"/>
  </w:num>
  <w:num w:numId="11">
    <w:abstractNumId w:val="30"/>
  </w:num>
  <w:num w:numId="12">
    <w:abstractNumId w:val="29"/>
  </w:num>
  <w:num w:numId="13">
    <w:abstractNumId w:val="28"/>
  </w:num>
  <w:num w:numId="14">
    <w:abstractNumId w:val="7"/>
  </w:num>
  <w:num w:numId="15">
    <w:abstractNumId w:val="1"/>
  </w:num>
  <w:num w:numId="16">
    <w:abstractNumId w:val="22"/>
  </w:num>
  <w:num w:numId="17">
    <w:abstractNumId w:val="19"/>
  </w:num>
  <w:num w:numId="18">
    <w:abstractNumId w:val="8"/>
  </w:num>
  <w:num w:numId="19">
    <w:abstractNumId w:val="23"/>
  </w:num>
  <w:num w:numId="20">
    <w:abstractNumId w:val="27"/>
  </w:num>
  <w:num w:numId="21">
    <w:abstractNumId w:val="15"/>
  </w:num>
  <w:num w:numId="22">
    <w:abstractNumId w:val="3"/>
  </w:num>
  <w:num w:numId="23">
    <w:abstractNumId w:val="14"/>
  </w:num>
  <w:num w:numId="24">
    <w:abstractNumId w:val="21"/>
  </w:num>
  <w:num w:numId="25">
    <w:abstractNumId w:val="10"/>
  </w:num>
  <w:num w:numId="26">
    <w:abstractNumId w:val="24"/>
  </w:num>
  <w:num w:numId="27">
    <w:abstractNumId w:val="9"/>
  </w:num>
  <w:num w:numId="28">
    <w:abstractNumId w:val="5"/>
  </w:num>
  <w:num w:numId="29">
    <w:abstractNumId w:val="0"/>
  </w:num>
  <w:num w:numId="30">
    <w:abstractNumId w:val="17"/>
  </w:num>
  <w:num w:numId="31">
    <w:abstractNumId w:val="31"/>
  </w:num>
  <w:num w:numId="32">
    <w:abstractNumId w:val="18"/>
  </w:num>
  <w:num w:numId="33">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0B5"/>
    <w:rsid w:val="00041725"/>
    <w:rsid w:val="00041C77"/>
    <w:rsid w:val="00041F71"/>
    <w:rsid w:val="000421CC"/>
    <w:rsid w:val="00042D80"/>
    <w:rsid w:val="00042F3B"/>
    <w:rsid w:val="00043712"/>
    <w:rsid w:val="00043E31"/>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B8A"/>
    <w:rsid w:val="00074BF1"/>
    <w:rsid w:val="00075A79"/>
    <w:rsid w:val="000763D8"/>
    <w:rsid w:val="00076820"/>
    <w:rsid w:val="00076CF1"/>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87FF4"/>
    <w:rsid w:val="000906BE"/>
    <w:rsid w:val="00091273"/>
    <w:rsid w:val="00091814"/>
    <w:rsid w:val="00091A94"/>
    <w:rsid w:val="000923A1"/>
    <w:rsid w:val="00092661"/>
    <w:rsid w:val="00093B3F"/>
    <w:rsid w:val="00093E7E"/>
    <w:rsid w:val="00094243"/>
    <w:rsid w:val="0009679F"/>
    <w:rsid w:val="00096F03"/>
    <w:rsid w:val="0009731E"/>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1A"/>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4D2"/>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56B"/>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377B"/>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A62"/>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D53"/>
    <w:rsid w:val="00184E43"/>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D53"/>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272"/>
    <w:rsid w:val="001B227C"/>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148"/>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0749"/>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62"/>
    <w:rsid w:val="00235394"/>
    <w:rsid w:val="00235A9B"/>
    <w:rsid w:val="00235D5D"/>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9EE"/>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115"/>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40E"/>
    <w:rsid w:val="00365E55"/>
    <w:rsid w:val="0036634E"/>
    <w:rsid w:val="00366624"/>
    <w:rsid w:val="00366642"/>
    <w:rsid w:val="00366A05"/>
    <w:rsid w:val="0036714B"/>
    <w:rsid w:val="00367724"/>
    <w:rsid w:val="00367D08"/>
    <w:rsid w:val="0037015D"/>
    <w:rsid w:val="0037097E"/>
    <w:rsid w:val="00370A22"/>
    <w:rsid w:val="00371187"/>
    <w:rsid w:val="00371EF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153E"/>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6DDB"/>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0D8E"/>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7030E"/>
    <w:rsid w:val="00470331"/>
    <w:rsid w:val="00470546"/>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0B2"/>
    <w:rsid w:val="004F37F5"/>
    <w:rsid w:val="004F3830"/>
    <w:rsid w:val="004F3ABA"/>
    <w:rsid w:val="004F3DA3"/>
    <w:rsid w:val="004F3F18"/>
    <w:rsid w:val="004F4659"/>
    <w:rsid w:val="004F5012"/>
    <w:rsid w:val="004F54D5"/>
    <w:rsid w:val="004F59A8"/>
    <w:rsid w:val="004F5AB7"/>
    <w:rsid w:val="004F6C24"/>
    <w:rsid w:val="004F74EA"/>
    <w:rsid w:val="004F7B3E"/>
    <w:rsid w:val="004F7C98"/>
    <w:rsid w:val="0050001C"/>
    <w:rsid w:val="005003ED"/>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275"/>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4C2E"/>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70C"/>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103"/>
    <w:rsid w:val="00571520"/>
    <w:rsid w:val="0057172C"/>
    <w:rsid w:val="00571783"/>
    <w:rsid w:val="00571E43"/>
    <w:rsid w:val="005724AC"/>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972"/>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37E9"/>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7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0FC0"/>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C11"/>
    <w:rsid w:val="00615020"/>
    <w:rsid w:val="0061590F"/>
    <w:rsid w:val="00615B1E"/>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6D18"/>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0EEB"/>
    <w:rsid w:val="006D10DE"/>
    <w:rsid w:val="006D1231"/>
    <w:rsid w:val="006D1835"/>
    <w:rsid w:val="006D1A51"/>
    <w:rsid w:val="006D24CA"/>
    <w:rsid w:val="006D27E1"/>
    <w:rsid w:val="006D2C0C"/>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6EA5"/>
    <w:rsid w:val="00747003"/>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0E63"/>
    <w:rsid w:val="007626BB"/>
    <w:rsid w:val="00763228"/>
    <w:rsid w:val="007637B1"/>
    <w:rsid w:val="00763EBE"/>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347D"/>
    <w:rsid w:val="007D3BE6"/>
    <w:rsid w:val="007D526E"/>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19"/>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1E55"/>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0D"/>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1843"/>
    <w:rsid w:val="008B26E4"/>
    <w:rsid w:val="008B3241"/>
    <w:rsid w:val="008B3291"/>
    <w:rsid w:val="008B382D"/>
    <w:rsid w:val="008B3941"/>
    <w:rsid w:val="008B3FA7"/>
    <w:rsid w:val="008B4087"/>
    <w:rsid w:val="008B429D"/>
    <w:rsid w:val="008B442B"/>
    <w:rsid w:val="008B45A5"/>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261"/>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21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3E63"/>
    <w:rsid w:val="00974684"/>
    <w:rsid w:val="00974CD3"/>
    <w:rsid w:val="00975596"/>
    <w:rsid w:val="0097684B"/>
    <w:rsid w:val="00976860"/>
    <w:rsid w:val="00977018"/>
    <w:rsid w:val="009779DD"/>
    <w:rsid w:val="009806B0"/>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7A0"/>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1F0A"/>
    <w:rsid w:val="009D30A1"/>
    <w:rsid w:val="009D3818"/>
    <w:rsid w:val="009D38DC"/>
    <w:rsid w:val="009D46A9"/>
    <w:rsid w:val="009D4AFF"/>
    <w:rsid w:val="009D5A4F"/>
    <w:rsid w:val="009D5D95"/>
    <w:rsid w:val="009D5F9F"/>
    <w:rsid w:val="009D6299"/>
    <w:rsid w:val="009D66BA"/>
    <w:rsid w:val="009D69A4"/>
    <w:rsid w:val="009D6EE8"/>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0CE"/>
    <w:rsid w:val="00A47236"/>
    <w:rsid w:val="00A47373"/>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36B"/>
    <w:rsid w:val="00A614D1"/>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E10"/>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93"/>
    <w:rsid w:val="00B20EED"/>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4A0"/>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DDA"/>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3D6"/>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855"/>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1CF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26"/>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50F"/>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BD1"/>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87104"/>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3DE4"/>
    <w:rsid w:val="00CB4372"/>
    <w:rsid w:val="00CB5705"/>
    <w:rsid w:val="00CB5A7C"/>
    <w:rsid w:val="00CB5F56"/>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454"/>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537"/>
    <w:rsid w:val="00CE6854"/>
    <w:rsid w:val="00CE7271"/>
    <w:rsid w:val="00CE7B34"/>
    <w:rsid w:val="00CE7B9B"/>
    <w:rsid w:val="00CE7BC5"/>
    <w:rsid w:val="00CF0226"/>
    <w:rsid w:val="00CF05C7"/>
    <w:rsid w:val="00CF083C"/>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A7D"/>
    <w:rsid w:val="00D14D93"/>
    <w:rsid w:val="00D1530B"/>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09FE"/>
    <w:rsid w:val="00D516C7"/>
    <w:rsid w:val="00D517B0"/>
    <w:rsid w:val="00D51E06"/>
    <w:rsid w:val="00D520E4"/>
    <w:rsid w:val="00D521E2"/>
    <w:rsid w:val="00D521F1"/>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9D6"/>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0C6"/>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6BA2"/>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46"/>
    <w:rsid w:val="00DA7D98"/>
    <w:rsid w:val="00DB0262"/>
    <w:rsid w:val="00DB0840"/>
    <w:rsid w:val="00DB0F0F"/>
    <w:rsid w:val="00DB0F5E"/>
    <w:rsid w:val="00DB134F"/>
    <w:rsid w:val="00DB14D5"/>
    <w:rsid w:val="00DB21C1"/>
    <w:rsid w:val="00DB24A2"/>
    <w:rsid w:val="00DB2EFB"/>
    <w:rsid w:val="00DB3376"/>
    <w:rsid w:val="00DB40AD"/>
    <w:rsid w:val="00DB44E1"/>
    <w:rsid w:val="00DB4D05"/>
    <w:rsid w:val="00DB4F48"/>
    <w:rsid w:val="00DB545A"/>
    <w:rsid w:val="00DB558A"/>
    <w:rsid w:val="00DB5FBD"/>
    <w:rsid w:val="00DB662D"/>
    <w:rsid w:val="00DC037A"/>
    <w:rsid w:val="00DC07B9"/>
    <w:rsid w:val="00DC1245"/>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251"/>
    <w:rsid w:val="00DD230C"/>
    <w:rsid w:val="00DD281F"/>
    <w:rsid w:val="00DD2BD0"/>
    <w:rsid w:val="00DD413F"/>
    <w:rsid w:val="00DD4457"/>
    <w:rsid w:val="00DD51D5"/>
    <w:rsid w:val="00DD5DC5"/>
    <w:rsid w:val="00DD6960"/>
    <w:rsid w:val="00DD698A"/>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13C"/>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1FC3"/>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35E8"/>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0A0"/>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2D"/>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96"/>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1F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47B"/>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4AA"/>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374"/>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79C"/>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CE6"/>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3AA"/>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character" w:customStyle="1" w:styleId="B1Zchn">
    <w:name w:val="B1 Zchn"/>
    <w:qFormat/>
    <w:rsid w:val="007626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620494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848295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8172432">
      <w:bodyDiv w:val="1"/>
      <w:marLeft w:val="0"/>
      <w:marRight w:val="0"/>
      <w:marTop w:val="0"/>
      <w:marBottom w:val="0"/>
      <w:divBdr>
        <w:top w:val="none" w:sz="0" w:space="0" w:color="auto"/>
        <w:left w:val="none" w:sz="0" w:space="0" w:color="auto"/>
        <w:bottom w:val="none" w:sz="0" w:space="0" w:color="auto"/>
        <w:right w:val="none" w:sz="0" w:space="0" w:color="auto"/>
      </w:divBdr>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6BED9325-D2B8-44F5-B0A1-A0963AA9C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R1-2100579</vt:lpstr>
    </vt:vector>
  </TitlesOfParts>
  <Company>MediaTek</Company>
  <LinksUpToDate>false</LinksUpToDate>
  <CharactersWithSpaces>7559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R1-2100579</dc:title>
  <dc:creator>Mohammed.Al-Imari@mediatek.com</dc:creator>
  <cp:keywords/>
  <cp:lastModifiedBy>Jozsef Nemeth</cp:lastModifiedBy>
  <cp:revision>2</cp:revision>
  <cp:lastPrinted>2019-10-07T16:08:00Z</cp:lastPrinted>
  <dcterms:created xsi:type="dcterms:W3CDTF">2021-05-11T17:24:00Z</dcterms:created>
  <dcterms:modified xsi:type="dcterms:W3CDTF">2021-05-11T17:24:00Z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